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F5627" w14:textId="77777777" w:rsidR="00887F7D" w:rsidRDefault="00887F7D" w:rsidP="00590BA3">
      <w:pPr>
        <w:pStyle w:val="Zkladntextodsazen"/>
        <w:tabs>
          <w:tab w:val="center" w:pos="1276"/>
        </w:tabs>
        <w:spacing w:line="240" w:lineRule="auto"/>
        <w:ind w:firstLine="0"/>
        <w:jc w:val="left"/>
        <w:rPr>
          <w:b/>
        </w:rPr>
      </w:pPr>
      <w:bookmarkStart w:id="0" w:name="_GoBack"/>
      <w:bookmarkEnd w:id="0"/>
    </w:p>
    <w:p w14:paraId="1E18DEA0" w14:textId="77777777" w:rsidR="005B00C2" w:rsidRDefault="005B00C2" w:rsidP="00590BA3">
      <w:pPr>
        <w:pStyle w:val="Zkladntextodsazen"/>
        <w:tabs>
          <w:tab w:val="center" w:pos="1276"/>
        </w:tabs>
        <w:spacing w:line="240" w:lineRule="auto"/>
        <w:ind w:firstLine="0"/>
        <w:jc w:val="left"/>
        <w:rPr>
          <w:b/>
        </w:rPr>
      </w:pPr>
    </w:p>
    <w:p w14:paraId="3B216C67" w14:textId="3678C2C7" w:rsidR="00974C6D" w:rsidRDefault="00590BA3" w:rsidP="00590BA3">
      <w:pPr>
        <w:pStyle w:val="Zkladntextodsazen"/>
        <w:tabs>
          <w:tab w:val="center" w:pos="1276"/>
        </w:tabs>
        <w:spacing w:line="240" w:lineRule="auto"/>
        <w:ind w:firstLine="0"/>
        <w:jc w:val="left"/>
        <w:rPr>
          <w:b/>
        </w:rPr>
      </w:pPr>
      <w:r>
        <w:rPr>
          <w:b/>
        </w:rPr>
        <w:tab/>
      </w:r>
    </w:p>
    <w:p w14:paraId="0C4881D0" w14:textId="51D50B15" w:rsidR="00D73F0F" w:rsidRDefault="00590BA3" w:rsidP="00590BA3">
      <w:pPr>
        <w:pStyle w:val="Zkladntextodsazen"/>
        <w:tabs>
          <w:tab w:val="center" w:pos="1276"/>
        </w:tabs>
        <w:spacing w:line="240" w:lineRule="auto"/>
        <w:ind w:firstLine="0"/>
        <w:rPr>
          <w:b/>
        </w:rPr>
      </w:pPr>
      <w:r>
        <w:rPr>
          <w:b/>
        </w:rPr>
        <w:tab/>
      </w:r>
    </w:p>
    <w:p w14:paraId="54A8CC99" w14:textId="77777777" w:rsidR="00F63735" w:rsidRDefault="00F63735" w:rsidP="00087058">
      <w:pPr>
        <w:jc w:val="right"/>
      </w:pPr>
    </w:p>
    <w:p w14:paraId="1162FC91" w14:textId="77777777" w:rsidR="00F63735" w:rsidRDefault="00F63735" w:rsidP="00BD3AFB"/>
    <w:p w14:paraId="1D7FF49C" w14:textId="3F859CD0" w:rsidR="00087058" w:rsidRDefault="00F520F8" w:rsidP="00087058">
      <w:pPr>
        <w:jc w:val="right"/>
      </w:pPr>
      <w:r>
        <w:t xml:space="preserve">Praha, </w:t>
      </w:r>
      <w:r w:rsidR="002463EF">
        <w:t>…..</w:t>
      </w:r>
      <w:r w:rsidR="00C94CA0">
        <w:t xml:space="preserve">. </w:t>
      </w:r>
      <w:r w:rsidR="002463EF">
        <w:t>října</w:t>
      </w:r>
      <w:r w:rsidR="00C94CA0">
        <w:t xml:space="preserve"> 2015</w:t>
      </w:r>
    </w:p>
    <w:p w14:paraId="50D7C569" w14:textId="1BFC4D67" w:rsidR="00087058" w:rsidRDefault="008B4F20" w:rsidP="00087058">
      <w:pPr>
        <w:jc w:val="right"/>
        <w:rPr>
          <w:i/>
        </w:rPr>
      </w:pPr>
      <w:proofErr w:type="spellStart"/>
      <w:proofErr w:type="gramStart"/>
      <w:r w:rsidRPr="002463EF">
        <w:rPr>
          <w:i/>
          <w:highlight w:val="yellow"/>
        </w:rPr>
        <w:t>Č.j</w:t>
      </w:r>
      <w:proofErr w:type="spellEnd"/>
      <w:r w:rsidRPr="002463EF">
        <w:rPr>
          <w:i/>
          <w:highlight w:val="yellow"/>
        </w:rPr>
        <w:t>:</w:t>
      </w:r>
      <w:r w:rsidR="0083488D" w:rsidRPr="002463EF">
        <w:rPr>
          <w:i/>
          <w:highlight w:val="yellow"/>
        </w:rPr>
        <w:t xml:space="preserve"> </w:t>
      </w:r>
      <w:r w:rsidR="00C94CA0" w:rsidRPr="002463EF">
        <w:rPr>
          <w:i/>
          <w:highlight w:val="yellow"/>
        </w:rPr>
        <w:t>324</w:t>
      </w:r>
      <w:r w:rsidR="0049632B" w:rsidRPr="002463EF">
        <w:rPr>
          <w:i/>
          <w:highlight w:val="yellow"/>
        </w:rPr>
        <w:t>/</w:t>
      </w:r>
      <w:r w:rsidR="003724EF" w:rsidRPr="002463EF">
        <w:rPr>
          <w:i/>
          <w:highlight w:val="yellow"/>
        </w:rPr>
        <w:t>15</w:t>
      </w:r>
      <w:proofErr w:type="gramEnd"/>
    </w:p>
    <w:p w14:paraId="00BD2497" w14:textId="77777777" w:rsidR="00B0181C" w:rsidRDefault="00B0181C" w:rsidP="00087058">
      <w:pPr>
        <w:jc w:val="right"/>
        <w:rPr>
          <w:i/>
        </w:rPr>
      </w:pPr>
    </w:p>
    <w:p w14:paraId="7331675B" w14:textId="77777777" w:rsidR="006478F9" w:rsidRDefault="006478F9" w:rsidP="0083488D">
      <w:pPr>
        <w:spacing w:before="120"/>
        <w:jc w:val="both"/>
        <w:rPr>
          <w:b/>
        </w:rPr>
      </w:pPr>
    </w:p>
    <w:p w14:paraId="287DE3A6" w14:textId="1A8AC0E6" w:rsidR="00D12537" w:rsidRPr="0083488D" w:rsidRDefault="00996B2F" w:rsidP="0083488D">
      <w:pPr>
        <w:spacing w:before="120"/>
        <w:jc w:val="both"/>
        <w:rPr>
          <w:b/>
        </w:rPr>
      </w:pPr>
      <w:r>
        <w:rPr>
          <w:b/>
        </w:rPr>
        <w:t>Reakce na Vaši odpověď</w:t>
      </w:r>
      <w:r w:rsidR="00DB4A1E">
        <w:rPr>
          <w:b/>
        </w:rPr>
        <w:t xml:space="preserve"> </w:t>
      </w:r>
      <w:r>
        <w:rPr>
          <w:b/>
        </w:rPr>
        <w:t>k problematice §56 (Vaše číslo jednací115918/15/7100-20116-050485</w:t>
      </w:r>
    </w:p>
    <w:p w14:paraId="00932695" w14:textId="77777777" w:rsidR="006478F9" w:rsidRDefault="006478F9" w:rsidP="006478F9">
      <w:pPr>
        <w:spacing w:before="120" w:after="120"/>
        <w:jc w:val="both"/>
        <w:rPr>
          <w:szCs w:val="24"/>
        </w:rPr>
      </w:pPr>
    </w:p>
    <w:p w14:paraId="26D4996E" w14:textId="044C71A3" w:rsidR="00C61DD4" w:rsidRDefault="002463EF" w:rsidP="006478F9">
      <w:pPr>
        <w:spacing w:before="120" w:after="120"/>
        <w:jc w:val="both"/>
        <w:rPr>
          <w:szCs w:val="24"/>
        </w:rPr>
      </w:pPr>
      <w:r>
        <w:rPr>
          <w:szCs w:val="24"/>
        </w:rPr>
        <w:t>Vážený pane …………….,</w:t>
      </w:r>
    </w:p>
    <w:p w14:paraId="4A549704" w14:textId="77777777" w:rsidR="00996B2F" w:rsidRDefault="002463EF" w:rsidP="00996B2F">
      <w:pPr>
        <w:spacing w:before="120" w:after="120"/>
        <w:ind w:firstLine="709"/>
        <w:jc w:val="both"/>
        <w:rPr>
          <w:szCs w:val="24"/>
        </w:rPr>
      </w:pPr>
      <w:r>
        <w:rPr>
          <w:szCs w:val="24"/>
        </w:rPr>
        <w:t xml:space="preserve">chtěli bychom </w:t>
      </w:r>
      <w:r w:rsidR="00996B2F">
        <w:rPr>
          <w:szCs w:val="24"/>
        </w:rPr>
        <w:t>reagovat na Váš dopis ze dne ………………, kterým jste odpovídali na naše dva dotazy k problematice aplikace §56. Velice děkujeme za čas, který jste odpovědím věnovali, nicméně domníváme se, že zde existuje několik sporných bodů, kde bychom ocenili ještě zvážení Vašich odpovědí, případně jejich přehodnocení.</w:t>
      </w:r>
    </w:p>
    <w:p w14:paraId="0D49BB7E" w14:textId="77777777" w:rsidR="00996B2F" w:rsidRDefault="00996B2F" w:rsidP="00996B2F">
      <w:pPr>
        <w:spacing w:before="120" w:after="120"/>
        <w:ind w:firstLine="709"/>
        <w:jc w:val="both"/>
        <w:rPr>
          <w:szCs w:val="24"/>
        </w:rPr>
      </w:pPr>
      <w:r>
        <w:rPr>
          <w:szCs w:val="24"/>
        </w:rPr>
        <w:t>Jedná se nám zejména o následující:</w:t>
      </w:r>
    </w:p>
    <w:p w14:paraId="23C4C645" w14:textId="5A3270CF" w:rsidR="00996B2F" w:rsidRDefault="00996B2F" w:rsidP="00996B2F">
      <w:pPr>
        <w:pStyle w:val="Odstavecseseznamem"/>
        <w:numPr>
          <w:ilvl w:val="0"/>
          <w:numId w:val="16"/>
        </w:numPr>
        <w:spacing w:before="120" w:after="120"/>
        <w:jc w:val="both"/>
      </w:pPr>
      <w:r>
        <w:t>Ve své odpovědi na náš dotaz k možnosti podání dodatečných daňových přiznání na rok 2015 (případně na rok 2014 ve vazbě na skutečnost, že nedošlo ke změně zákona) jste zdůraznili, že není možno příslušnou informaci využít retroaktivně. Přitom ale zároveň zdůrazňujete, že ve vztahu k otázce umístění drobných staveb je nezbytné také vzít v úvahu judikaturu ESD (a to u judikátů, které byly vydány před 1. 1. 2014).</w:t>
      </w:r>
    </w:p>
    <w:p w14:paraId="5C1EA54A" w14:textId="124C0E19" w:rsidR="00996B2F" w:rsidRDefault="00996B2F" w:rsidP="00996B2F">
      <w:pPr>
        <w:pStyle w:val="Odstavecseseznamem"/>
        <w:spacing w:before="120" w:after="120"/>
        <w:jc w:val="both"/>
      </w:pPr>
      <w:r>
        <w:t>Nicméně zde je potřeba také podívat se do znění informace ze dne 13. 7. 2015 – zde je mimo jiné uvedeno:</w:t>
      </w:r>
    </w:p>
    <w:p w14:paraId="58215879" w14:textId="382A8FD0" w:rsidR="00996B2F" w:rsidRDefault="00996B2F" w:rsidP="00996B2F">
      <w:pPr>
        <w:pStyle w:val="Odstavecseseznamem"/>
        <w:numPr>
          <w:ilvl w:val="0"/>
          <w:numId w:val="17"/>
        </w:numPr>
        <w:spacing w:before="120" w:after="120"/>
        <w:jc w:val="both"/>
      </w:pPr>
      <w:r>
        <w:t>V nadpisu je uvedeno:</w:t>
      </w:r>
    </w:p>
    <w:p w14:paraId="53DBE897" w14:textId="3A72A50B" w:rsidR="00996B2F" w:rsidRPr="00081AB4" w:rsidRDefault="00081AB4" w:rsidP="00996B2F">
      <w:pPr>
        <w:pStyle w:val="Odstavecseseznamem"/>
        <w:spacing w:before="120" w:after="120"/>
        <w:ind w:left="1080"/>
        <w:jc w:val="both"/>
        <w:rPr>
          <w:i/>
        </w:rPr>
      </w:pPr>
      <w:r w:rsidRPr="00081AB4">
        <w:rPr>
          <w:i/>
        </w:rPr>
        <w:t>„</w:t>
      </w:r>
      <w:r w:rsidR="00996B2F" w:rsidRPr="00081AB4">
        <w:rPr>
          <w:i/>
        </w:rPr>
        <w:t>Informace GFŘ k uplatňování zákona o DPH u nemovitých věcí po 1. 1. 2015</w:t>
      </w:r>
      <w:r w:rsidRPr="00081AB4">
        <w:rPr>
          <w:i/>
        </w:rPr>
        <w:t>“</w:t>
      </w:r>
    </w:p>
    <w:p w14:paraId="2BAA1D16" w14:textId="1E4F2A6E" w:rsidR="00996B2F" w:rsidRDefault="00081AB4" w:rsidP="00996B2F">
      <w:pPr>
        <w:pStyle w:val="Odstavecseseznamem"/>
        <w:numPr>
          <w:ilvl w:val="0"/>
          <w:numId w:val="17"/>
        </w:numPr>
        <w:spacing w:before="120" w:after="120"/>
        <w:jc w:val="both"/>
      </w:pPr>
      <w:r>
        <w:t>V závěru je uvedeno:</w:t>
      </w:r>
    </w:p>
    <w:p w14:paraId="4C9FBF76" w14:textId="77777777" w:rsidR="00081AB4" w:rsidRPr="00081AB4" w:rsidRDefault="00081AB4" w:rsidP="00081AB4">
      <w:pPr>
        <w:pStyle w:val="Odstavecseseznamem"/>
        <w:spacing w:before="120" w:after="120"/>
        <w:ind w:left="1080"/>
        <w:jc w:val="both"/>
        <w:rPr>
          <w:i/>
        </w:rPr>
      </w:pPr>
      <w:r w:rsidRPr="00081AB4">
        <w:rPr>
          <w:i/>
        </w:rPr>
        <w:t xml:space="preserve">Závěr </w:t>
      </w:r>
    </w:p>
    <w:p w14:paraId="2110D885" w14:textId="16466A31" w:rsidR="00081AB4" w:rsidRDefault="00081AB4" w:rsidP="00081AB4">
      <w:pPr>
        <w:pStyle w:val="Odstavecseseznamem"/>
        <w:spacing w:before="120" w:after="120"/>
        <w:ind w:left="1080"/>
        <w:jc w:val="both"/>
      </w:pPr>
      <w:r w:rsidRPr="00081AB4">
        <w:rPr>
          <w:i/>
        </w:rPr>
        <w:t>Znění ustanovení zákona o DPH se aplikují s účinností od 1. 1. 2015. Dříve vydané Informace k uplatňování  zákona  o  DPH  u  výstavby  po  1.  1.  2008 (zveřejněna  23.  4.  2008),  kromě  části na níž odkazuje  bod  2.2.2.  této  informace  (Podlahová  plocha  rodinného  domu  pro  sociální bydlení)  a  Informace  GFŘ  k  uplatňování  DPH  u  dodání a  nájmu  vybraných  nemovitých  věcí po 1. 1.  2014  (zveřejněna  9.  12.  2013),  se  ode  dne  vydání  této  informace  nepoužijí  s tím, že princip  hlavního  a  vedlejšího  plnění,  který  je  obecným  principem,  bylo  možné  aplikovat  i v r. 2014 (zejména u dodání pozemku ve smyslu uvedeném v bodu 4.1.).</w:t>
      </w:r>
    </w:p>
    <w:p w14:paraId="0DE9326A" w14:textId="6F62D889" w:rsidR="00996B2F" w:rsidRDefault="00081AB4" w:rsidP="00996B2F">
      <w:pPr>
        <w:pStyle w:val="Odstavecseseznamem"/>
        <w:spacing w:before="120" w:after="120"/>
        <w:jc w:val="both"/>
      </w:pPr>
      <w:r>
        <w:t>Přitom právě otázka toho, že se nepřihlíží k „drobným stavbám“ umístěným na pozemku právě vychází z klasifikace plnění na hlavní a vedlejší.</w:t>
      </w:r>
    </w:p>
    <w:p w14:paraId="3E19F662" w14:textId="71C99316" w:rsidR="00081AB4" w:rsidRDefault="00081AB4" w:rsidP="00996B2F">
      <w:pPr>
        <w:pStyle w:val="Odstavecseseznamem"/>
        <w:spacing w:before="120" w:after="120"/>
        <w:jc w:val="both"/>
      </w:pPr>
      <w:r>
        <w:lastRenderedPageBreak/>
        <w:t>Rozhodně nejsme příznivci retroaktivní aplikace, nicméně po přečtení příslušné informace a to zejména ve vztahu k výše uvedeným bodům jsme došli k závěru, že GFŘ pravděpodobně danou retroaktivitu zamýšlela a samozřejmě pokud bude ve prospěch poplatníků, že ji bude akceptovat. K tomu směřoval i náš dotaz – nicméně jak uvádíte ve své odpovědi, trváte na tom, že by aplikace ve vztahu k hodnocení drobných staveb z hlediska zastavěnosti pozemku měla platit až od 13. 7. 2015.</w:t>
      </w:r>
    </w:p>
    <w:p w14:paraId="09BB4EC5" w14:textId="3BBEFFE2" w:rsidR="00081AB4" w:rsidRPr="00742DEC" w:rsidRDefault="00081AB4" w:rsidP="00996B2F">
      <w:pPr>
        <w:pStyle w:val="Odstavecseseznamem"/>
        <w:spacing w:before="120" w:after="120"/>
        <w:jc w:val="both"/>
        <w:rPr>
          <w:b/>
        </w:rPr>
      </w:pPr>
      <w:r w:rsidRPr="00742DEC">
        <w:rPr>
          <w:b/>
        </w:rPr>
        <w:t>Za těchto okolností žádáme o vysvětlení, jak se Vaše odpověď srovnává s tím, co uvádíme pod písmeny a) a b)</w:t>
      </w:r>
      <w:r w:rsidR="00742DEC">
        <w:rPr>
          <w:b/>
        </w:rPr>
        <w:t xml:space="preserve"> a také zejména ve vztahu ke skutečnosti Vašich odkazů na judikaturu ESD (například v oblasti drobných staveb), která bezesporu platila jak v letech 2014, tak i 2015</w:t>
      </w:r>
      <w:r w:rsidRPr="00742DEC">
        <w:rPr>
          <w:b/>
        </w:rPr>
        <w:t>.</w:t>
      </w:r>
    </w:p>
    <w:p w14:paraId="17D278AA" w14:textId="77777777" w:rsidR="00081AB4" w:rsidRDefault="00081AB4" w:rsidP="00996B2F">
      <w:pPr>
        <w:pStyle w:val="Odstavecseseznamem"/>
        <w:spacing w:before="120" w:after="120"/>
        <w:jc w:val="both"/>
      </w:pPr>
    </w:p>
    <w:p w14:paraId="257012B9" w14:textId="7F0BAA50" w:rsidR="00996B2F" w:rsidRDefault="00081AB4" w:rsidP="00996B2F">
      <w:pPr>
        <w:pStyle w:val="Odstavecseseznamem"/>
        <w:numPr>
          <w:ilvl w:val="0"/>
          <w:numId w:val="16"/>
        </w:numPr>
        <w:spacing w:before="120" w:after="120"/>
        <w:jc w:val="both"/>
      </w:pPr>
      <w:r>
        <w:t>Ve své odpovědi dále trváte na režimu, že pokud je na pozemku umístěna síť ve vlastnictví stejné osoby jako je vlastník pozemku a je prodáván pozemek, jedná se o prodej pozemku tvořícího funkční celek se stavbou a to i v situaci, kdy příslušná síť není předmětem transakce (</w:t>
      </w:r>
      <w:r w:rsidRPr="00081AB4">
        <w:rPr>
          <w:i/>
        </w:rPr>
        <w:t>například převod pozemku z vlastnictví obce v situaci, kdy na pozemku je zároveň umístěna kanalizace ve vlastnictví obce</w:t>
      </w:r>
      <w:r>
        <w:t>).</w:t>
      </w:r>
    </w:p>
    <w:p w14:paraId="2EF11884" w14:textId="64C6C35A" w:rsidR="00081AB4" w:rsidRDefault="00081AB4" w:rsidP="00081AB4">
      <w:pPr>
        <w:pStyle w:val="Odstavecseseznamem"/>
        <w:spacing w:before="120" w:after="120"/>
        <w:jc w:val="both"/>
      </w:pPr>
      <w:r>
        <w:t>Jsme přesvědčeni, že tato Vámi prezentovaná myšlenka neodpovídá cílům směrnice k DPH a ani §48 odst. 3 zákona o DPH. Dané ustanovení totiž uvádí:</w:t>
      </w:r>
    </w:p>
    <w:p w14:paraId="4F1F46F4" w14:textId="77777777" w:rsidR="009539D2" w:rsidRPr="009539D2" w:rsidRDefault="009539D2" w:rsidP="009539D2">
      <w:pPr>
        <w:pStyle w:val="Odstavecseseznamem"/>
        <w:spacing w:before="120" w:after="120"/>
        <w:jc w:val="both"/>
        <w:rPr>
          <w:i/>
        </w:rPr>
      </w:pPr>
      <w:r w:rsidRPr="009539D2">
        <w:rPr>
          <w:i/>
        </w:rPr>
        <w:t xml:space="preserve">(3) Pozemkem, který tvoří funkční celek se stavbou pevně spojenou se zemí, se pro účely daně z přidané hodnoty rozumí pozemek, který slouží k provozu stavby pevně spojené se zemí nebo plní její funkce nebo který je využíván spolu s takovou stavbou. Touto stavbou není inženýrská síť ve vlastnictví jiné osoby než vlastníka pozemku. </w:t>
      </w:r>
    </w:p>
    <w:p w14:paraId="7DF1E92F" w14:textId="0D415E9C" w:rsidR="009539D2" w:rsidRDefault="009539D2" w:rsidP="009539D2">
      <w:pPr>
        <w:pStyle w:val="Odstavecseseznamem"/>
        <w:spacing w:before="120" w:after="120"/>
        <w:jc w:val="both"/>
      </w:pPr>
      <w:r>
        <w:t xml:space="preserve">Tedy ve větě poslední (mající charakter speciálního ustanovení) je definována výjimka, že i v případě, že by byly splněny charakteristiky podle věty první, nemůže pozemek tvořit funkční celek se sítí, která je ve vlastnictví jiné osoby. Nicméně tato věta nemůže znamenat, že neexistují právě stavby, s nimiž pozemek netvoří funkční celek – stále je nezbytné testovat parametry dle první věty daného ustanovení. </w:t>
      </w:r>
    </w:p>
    <w:p w14:paraId="1FD73654" w14:textId="27ED1401" w:rsidR="009539D2" w:rsidRDefault="009539D2" w:rsidP="009539D2">
      <w:pPr>
        <w:pStyle w:val="Odstavecseseznamem"/>
        <w:spacing w:before="120" w:after="120"/>
        <w:jc w:val="both"/>
      </w:pPr>
      <w:r>
        <w:t>Opakujeme, že naši domněnku, že pokud obec bude prodávat pozemek, přes který vede kanalizace obce a tato kanalizace nebude předmětem transakce, nemělo by se u pozemku jednat o funkční celek se stavbou (</w:t>
      </w:r>
      <w:proofErr w:type="gramStart"/>
      <w:r>
        <w:t>nebo-</w:t>
      </w:r>
      <w:proofErr w:type="spellStart"/>
      <w:r>
        <w:t>li</w:t>
      </w:r>
      <w:proofErr w:type="spellEnd"/>
      <w:r>
        <w:t xml:space="preserve"> daňový</w:t>
      </w:r>
      <w:proofErr w:type="gramEnd"/>
      <w:r>
        <w:t xml:space="preserve"> režim převodu by se neodvíjel od charakteru stavby).</w:t>
      </w:r>
    </w:p>
    <w:p w14:paraId="5D26723D" w14:textId="17A2F9E2" w:rsidR="009539D2" w:rsidRPr="00742DEC" w:rsidRDefault="009539D2" w:rsidP="009539D2">
      <w:pPr>
        <w:spacing w:before="120" w:after="120"/>
        <w:jc w:val="both"/>
        <w:rPr>
          <w:b/>
        </w:rPr>
      </w:pPr>
      <w:r w:rsidRPr="00742DEC">
        <w:rPr>
          <w:b/>
        </w:rPr>
        <w:t>Dále si dovolujeme upozornit, že GFŘ ve své informaci z prosince 2015 nedefinuje jakýmkoliv způsobem „okolí pozemku“, což vede obce k dalším problémům určení, zda se jedná o stavební pozemek či nikoliv. Ve vztahu k této skutečnosti žádáme o co nejrychlejší doplnění informace o vymezení charakteristiky „okolí“.</w:t>
      </w:r>
    </w:p>
    <w:p w14:paraId="24E9FD12" w14:textId="60AA8BD1" w:rsidR="002463EF" w:rsidRDefault="00996B2F" w:rsidP="00996B2F">
      <w:pPr>
        <w:spacing w:before="120" w:after="120"/>
        <w:ind w:firstLine="709"/>
        <w:jc w:val="both"/>
        <w:rPr>
          <w:szCs w:val="24"/>
        </w:rPr>
      </w:pPr>
      <w:r>
        <w:rPr>
          <w:szCs w:val="24"/>
        </w:rPr>
        <w:t xml:space="preserve"> </w:t>
      </w:r>
    </w:p>
    <w:p w14:paraId="32DE9472" w14:textId="43C903DB" w:rsidR="00C34F3F" w:rsidRPr="00C4229A" w:rsidRDefault="009539D2" w:rsidP="00B70303">
      <w:pPr>
        <w:spacing w:before="120" w:after="120"/>
        <w:jc w:val="both"/>
      </w:pPr>
      <w:r>
        <w:t>Věříme, že chápete, že vyjasnění daných záležitostí je nejen v </w:t>
      </w:r>
      <w:r w:rsidR="00E7212D">
        <w:t>zájmu</w:t>
      </w:r>
      <w:r>
        <w:t xml:space="preserve"> obcí, které se snažíme zastupovat, ale také i v zájmu finanční správy. </w:t>
      </w:r>
      <w:r w:rsidR="00C34F3F">
        <w:t xml:space="preserve"> </w:t>
      </w:r>
    </w:p>
    <w:p w14:paraId="16845135" w14:textId="5E3A249D" w:rsidR="009A6405" w:rsidRDefault="009A6405" w:rsidP="00BD3AFB">
      <w:pPr>
        <w:spacing w:before="240"/>
        <w:ind w:firstLine="709"/>
        <w:jc w:val="both"/>
      </w:pPr>
      <w:r w:rsidRPr="00EF3442">
        <w:rPr>
          <w:szCs w:val="24"/>
        </w:rPr>
        <w:t>S</w:t>
      </w:r>
      <w:r w:rsidR="00BD3AFB">
        <w:t> </w:t>
      </w:r>
      <w:r w:rsidR="00EF3442">
        <w:t>úctou</w:t>
      </w:r>
    </w:p>
    <w:p w14:paraId="5950758F" w14:textId="77777777" w:rsidR="00BD3AFB" w:rsidRDefault="00BD3AFB" w:rsidP="00BD3AFB">
      <w:pPr>
        <w:spacing w:before="240"/>
        <w:ind w:firstLine="709"/>
        <w:jc w:val="both"/>
      </w:pPr>
    </w:p>
    <w:p w14:paraId="792D02FA" w14:textId="6F8781CA" w:rsidR="00BD3AFB" w:rsidRPr="00451C1C" w:rsidRDefault="00BD3AFB" w:rsidP="00C94CA0">
      <w:pPr>
        <w:spacing w:before="240"/>
        <w:ind w:firstLine="709"/>
        <w:jc w:val="both"/>
      </w:pPr>
    </w:p>
    <w:sectPr w:rsidR="00BD3AFB" w:rsidRPr="00451C1C" w:rsidSect="00CB389C">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3BAA8" w14:textId="77777777" w:rsidR="001053CF" w:rsidRDefault="001053CF">
      <w:r>
        <w:separator/>
      </w:r>
    </w:p>
  </w:endnote>
  <w:endnote w:type="continuationSeparator" w:id="0">
    <w:p w14:paraId="63D397DC" w14:textId="77777777" w:rsidR="001053CF" w:rsidRDefault="0010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007910"/>
      <w:docPartObj>
        <w:docPartGallery w:val="Page Numbers (Bottom of Page)"/>
        <w:docPartUnique/>
      </w:docPartObj>
    </w:sdtPr>
    <w:sdtEndPr/>
    <w:sdtContent>
      <w:p w14:paraId="2D3D15EB" w14:textId="4299498B" w:rsidR="00CB389C" w:rsidRDefault="00CB389C">
        <w:pPr>
          <w:pStyle w:val="Zpat"/>
          <w:jc w:val="center"/>
        </w:pPr>
        <w:r>
          <w:fldChar w:fldCharType="begin"/>
        </w:r>
        <w:r>
          <w:instrText>PAGE   \* MERGEFORMAT</w:instrText>
        </w:r>
        <w:r>
          <w:fldChar w:fldCharType="separate"/>
        </w:r>
        <w:r w:rsidR="00CD3321">
          <w:rPr>
            <w:noProof/>
          </w:rPr>
          <w:t>2</w:t>
        </w:r>
        <w:r>
          <w:fldChar w:fldCharType="end"/>
        </w:r>
      </w:p>
    </w:sdtContent>
  </w:sdt>
  <w:p w14:paraId="25B999E4" w14:textId="77777777" w:rsidR="009117B2" w:rsidRDefault="009117B2">
    <w:pPr>
      <w:pStyle w:val="Zpat"/>
      <w:rPr>
        <w:sz w:val="16"/>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90BF" w14:textId="77777777" w:rsidR="00CB389C" w:rsidRPr="00195F24" w:rsidRDefault="00CB389C" w:rsidP="00CB389C">
    <w:pPr>
      <w:pStyle w:val="Zpat"/>
      <w:rPr>
        <w:sz w:val="16"/>
        <w:u w:val="single"/>
        <w:vertAlign w:val="superscript"/>
      </w:rPr>
    </w:pPr>
    <w:r w:rsidRPr="00195F24">
      <w:rPr>
        <w:sz w:val="16"/>
        <w:u w:val="single"/>
        <w:vertAlign w:val="superscript"/>
      </w:rPr>
      <w:t>______________________________________________________________________________________________________________________________________________________</w:t>
    </w:r>
    <w:r>
      <w:rPr>
        <w:sz w:val="16"/>
        <w:u w:val="single"/>
        <w:vertAlign w:val="superscript"/>
      </w:rPr>
      <w:t>_</w:t>
    </w:r>
    <w:r w:rsidRPr="00195F24">
      <w:rPr>
        <w:sz w:val="16"/>
        <w:u w:val="single"/>
        <w:vertAlign w:val="superscript"/>
      </w:rPr>
      <w:t>______________________________</w:t>
    </w:r>
  </w:p>
  <w:p w14:paraId="2FDEB153" w14:textId="77777777" w:rsidR="00CB389C" w:rsidRDefault="00CB389C" w:rsidP="00CB389C">
    <w:pPr>
      <w:pStyle w:val="Zpat"/>
      <w:rPr>
        <w:sz w:val="16"/>
      </w:rPr>
    </w:pPr>
    <w:smartTag w:uri="urn:schemas-microsoft-com:office:smarttags" w:element="date">
      <w:smartTagPr>
        <w:attr w:name="ls" w:val="trans"/>
        <w:attr w:name="Month" w:val="5"/>
        <w:attr w:name="Day" w:val="5"/>
        <w:attr w:name="Year" w:val="16"/>
      </w:smartTagPr>
      <w:r>
        <w:rPr>
          <w:sz w:val="16"/>
        </w:rPr>
        <w:t>5. května 16</w:t>
      </w:r>
    </w:smartTag>
    <w:r>
      <w:rPr>
        <w:sz w:val="16"/>
      </w:rPr>
      <w:t>40/65                                                                     Tel.:  234709711                                              IČ: 63113074, DIČ: CZ63113074</w:t>
    </w:r>
  </w:p>
  <w:p w14:paraId="0D459100" w14:textId="77777777" w:rsidR="00CB389C" w:rsidRDefault="00CB389C" w:rsidP="00CB389C">
    <w:pPr>
      <w:pStyle w:val="Zpat"/>
      <w:rPr>
        <w:sz w:val="16"/>
      </w:rPr>
    </w:pPr>
    <w:r>
      <w:rPr>
        <w:sz w:val="16"/>
      </w:rPr>
      <w:t xml:space="preserve">140 00  Praha 4                                                                         Fax:  234709786                                                </w:t>
    </w:r>
    <w:proofErr w:type="spellStart"/>
    <w:proofErr w:type="gramStart"/>
    <w:r>
      <w:rPr>
        <w:sz w:val="16"/>
      </w:rPr>
      <w:t>Bank</w:t>
    </w:r>
    <w:proofErr w:type="gramEnd"/>
    <w:r>
      <w:rPr>
        <w:sz w:val="16"/>
      </w:rPr>
      <w:t>.</w:t>
    </w:r>
    <w:proofErr w:type="gramStart"/>
    <w:r>
      <w:rPr>
        <w:sz w:val="16"/>
      </w:rPr>
      <w:t>spoj</w:t>
    </w:r>
    <w:proofErr w:type="spellEnd"/>
    <w:proofErr w:type="gramEnd"/>
    <w:r>
      <w:rPr>
        <w:sz w:val="16"/>
      </w:rPr>
      <w:t>.: Komerční banka, a.s.</w:t>
    </w:r>
  </w:p>
  <w:p w14:paraId="40D86A4B" w14:textId="77777777" w:rsidR="00CB389C" w:rsidRDefault="00CB389C" w:rsidP="00CB389C">
    <w:pPr>
      <w:pStyle w:val="Zpat"/>
      <w:rPr>
        <w:sz w:val="16"/>
      </w:rPr>
    </w:pPr>
    <w:r>
      <w:rPr>
        <w:sz w:val="16"/>
      </w:rPr>
      <w:t xml:space="preserve">Česká republika                                                                        e-mail: smocr@smocr.cz                                              </w:t>
    </w:r>
    <w:proofErr w:type="spellStart"/>
    <w:proofErr w:type="gramStart"/>
    <w:r>
      <w:rPr>
        <w:sz w:val="16"/>
      </w:rPr>
      <w:t>č.ú</w:t>
    </w:r>
    <w:proofErr w:type="spellEnd"/>
    <w:r>
      <w:rPr>
        <w:sz w:val="16"/>
      </w:rPr>
      <w:t>.: 19</w:t>
    </w:r>
    <w:proofErr w:type="gramEnd"/>
    <w:r>
      <w:rPr>
        <w:sz w:val="16"/>
      </w:rPr>
      <w:t xml:space="preserve">-9221540247/0100                                                 </w:t>
    </w:r>
    <w:r>
      <w:rPr>
        <w:sz w:val="16"/>
      </w:rPr>
      <w:tab/>
      <w:t xml:space="preserve"> htt://www.smocr.cz                                                 </w:t>
    </w:r>
  </w:p>
  <w:p w14:paraId="29B5312B" w14:textId="77777777" w:rsidR="00CB389C" w:rsidRDefault="00CB38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4AC01" w14:textId="77777777" w:rsidR="001053CF" w:rsidRDefault="001053CF">
      <w:r>
        <w:separator/>
      </w:r>
    </w:p>
  </w:footnote>
  <w:footnote w:type="continuationSeparator" w:id="0">
    <w:p w14:paraId="73ADCF07" w14:textId="77777777" w:rsidR="001053CF" w:rsidRDefault="0010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1B40E" w14:textId="103C86D3" w:rsidR="009117B2" w:rsidRDefault="009117B2" w:rsidP="002F4EE3">
    <w:pPr>
      <w:pStyle w:val="Zhlav"/>
    </w:pPr>
    <w:r>
      <w:tab/>
    </w:r>
    <w:r>
      <w:tab/>
    </w:r>
  </w:p>
  <w:p w14:paraId="6CD55D71" w14:textId="77777777" w:rsidR="009117B2" w:rsidRDefault="009117B2">
    <w:pPr>
      <w:pStyle w:val="Zhlav"/>
      <w:rPr>
        <w:b/>
        <w:sz w:val="22"/>
      </w:rPr>
    </w:pPr>
    <w:r>
      <w:tab/>
    </w:r>
    <w:r>
      <w:tab/>
    </w:r>
    <w:r>
      <w:rPr>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1408" w14:textId="06EFF5DC" w:rsidR="00CB389C" w:rsidRDefault="00CB389C" w:rsidP="00CB389C">
    <w:pPr>
      <w:pStyle w:val="Zhlav"/>
      <w:jc w:val="right"/>
    </w:pPr>
    <w:r>
      <w:rPr>
        <w:noProof/>
      </w:rPr>
      <w:drawing>
        <wp:inline distT="0" distB="0" distL="0" distR="0" wp14:anchorId="3EB7B517" wp14:editId="28AB07BA">
          <wp:extent cx="1019175" cy="66675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9175" cy="666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D70"/>
    <w:multiLevelType w:val="hybridMultilevel"/>
    <w:tmpl w:val="20640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63574"/>
    <w:multiLevelType w:val="hybridMultilevel"/>
    <w:tmpl w:val="3E2C9576"/>
    <w:lvl w:ilvl="0" w:tplc="8DC8C59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B13548"/>
    <w:multiLevelType w:val="hybridMultilevel"/>
    <w:tmpl w:val="D980840A"/>
    <w:lvl w:ilvl="0" w:tplc="D7E2A2A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1919E2"/>
    <w:multiLevelType w:val="hybridMultilevel"/>
    <w:tmpl w:val="D508372A"/>
    <w:lvl w:ilvl="0" w:tplc="7F76679A">
      <w:numFmt w:val="bullet"/>
      <w:lvlText w:val="-"/>
      <w:lvlJc w:val="left"/>
      <w:pPr>
        <w:tabs>
          <w:tab w:val="num" w:pos="720"/>
        </w:tabs>
        <w:ind w:left="720" w:hanging="360"/>
      </w:pPr>
      <w:rPr>
        <w:rFonts w:ascii="Times New Roman" w:eastAsia="Times New Roman" w:hAnsi="Times New Roman" w:cs="Times New Roman" w:hint="default"/>
      </w:rPr>
    </w:lvl>
    <w:lvl w:ilvl="1" w:tplc="E7B80F2E" w:tentative="1">
      <w:start w:val="1"/>
      <w:numFmt w:val="bullet"/>
      <w:lvlText w:val="o"/>
      <w:lvlJc w:val="left"/>
      <w:pPr>
        <w:tabs>
          <w:tab w:val="num" w:pos="1440"/>
        </w:tabs>
        <w:ind w:left="1440" w:hanging="360"/>
      </w:pPr>
      <w:rPr>
        <w:rFonts w:ascii="Courier New" w:hAnsi="Courier New" w:hint="default"/>
      </w:rPr>
    </w:lvl>
    <w:lvl w:ilvl="2" w:tplc="B48A909A" w:tentative="1">
      <w:start w:val="1"/>
      <w:numFmt w:val="bullet"/>
      <w:lvlText w:val=""/>
      <w:lvlJc w:val="left"/>
      <w:pPr>
        <w:tabs>
          <w:tab w:val="num" w:pos="2160"/>
        </w:tabs>
        <w:ind w:left="2160" w:hanging="360"/>
      </w:pPr>
      <w:rPr>
        <w:rFonts w:ascii="Wingdings" w:hAnsi="Wingdings" w:hint="default"/>
      </w:rPr>
    </w:lvl>
    <w:lvl w:ilvl="3" w:tplc="D1BE1620" w:tentative="1">
      <w:start w:val="1"/>
      <w:numFmt w:val="bullet"/>
      <w:lvlText w:val=""/>
      <w:lvlJc w:val="left"/>
      <w:pPr>
        <w:tabs>
          <w:tab w:val="num" w:pos="2880"/>
        </w:tabs>
        <w:ind w:left="2880" w:hanging="360"/>
      </w:pPr>
      <w:rPr>
        <w:rFonts w:ascii="Symbol" w:hAnsi="Symbol" w:hint="default"/>
      </w:rPr>
    </w:lvl>
    <w:lvl w:ilvl="4" w:tplc="25EADD62" w:tentative="1">
      <w:start w:val="1"/>
      <w:numFmt w:val="bullet"/>
      <w:lvlText w:val="o"/>
      <w:lvlJc w:val="left"/>
      <w:pPr>
        <w:tabs>
          <w:tab w:val="num" w:pos="3600"/>
        </w:tabs>
        <w:ind w:left="3600" w:hanging="360"/>
      </w:pPr>
      <w:rPr>
        <w:rFonts w:ascii="Courier New" w:hAnsi="Courier New" w:hint="default"/>
      </w:rPr>
    </w:lvl>
    <w:lvl w:ilvl="5" w:tplc="83CC8D3C" w:tentative="1">
      <w:start w:val="1"/>
      <w:numFmt w:val="bullet"/>
      <w:lvlText w:val=""/>
      <w:lvlJc w:val="left"/>
      <w:pPr>
        <w:tabs>
          <w:tab w:val="num" w:pos="4320"/>
        </w:tabs>
        <w:ind w:left="4320" w:hanging="360"/>
      </w:pPr>
      <w:rPr>
        <w:rFonts w:ascii="Wingdings" w:hAnsi="Wingdings" w:hint="default"/>
      </w:rPr>
    </w:lvl>
    <w:lvl w:ilvl="6" w:tplc="A942B236" w:tentative="1">
      <w:start w:val="1"/>
      <w:numFmt w:val="bullet"/>
      <w:lvlText w:val=""/>
      <w:lvlJc w:val="left"/>
      <w:pPr>
        <w:tabs>
          <w:tab w:val="num" w:pos="5040"/>
        </w:tabs>
        <w:ind w:left="5040" w:hanging="360"/>
      </w:pPr>
      <w:rPr>
        <w:rFonts w:ascii="Symbol" w:hAnsi="Symbol" w:hint="default"/>
      </w:rPr>
    </w:lvl>
    <w:lvl w:ilvl="7" w:tplc="5B46FAD4" w:tentative="1">
      <w:start w:val="1"/>
      <w:numFmt w:val="bullet"/>
      <w:lvlText w:val="o"/>
      <w:lvlJc w:val="left"/>
      <w:pPr>
        <w:tabs>
          <w:tab w:val="num" w:pos="5760"/>
        </w:tabs>
        <w:ind w:left="5760" w:hanging="360"/>
      </w:pPr>
      <w:rPr>
        <w:rFonts w:ascii="Courier New" w:hAnsi="Courier New" w:hint="default"/>
      </w:rPr>
    </w:lvl>
    <w:lvl w:ilvl="8" w:tplc="48DCA7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D4839"/>
    <w:multiLevelType w:val="hybridMultilevel"/>
    <w:tmpl w:val="EF0C5962"/>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5" w15:restartNumberingAfterBreak="0">
    <w:nsid w:val="1CBC0203"/>
    <w:multiLevelType w:val="hybridMultilevel"/>
    <w:tmpl w:val="1640E72E"/>
    <w:lvl w:ilvl="0" w:tplc="DC0448CC">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23773E9F"/>
    <w:multiLevelType w:val="hybridMultilevel"/>
    <w:tmpl w:val="2EF0FEA4"/>
    <w:lvl w:ilvl="0" w:tplc="04050001">
      <w:start w:val="1"/>
      <w:numFmt w:val="bullet"/>
      <w:lvlText w:val=""/>
      <w:lvlJc w:val="left"/>
      <w:pPr>
        <w:ind w:left="2484" w:hanging="360"/>
      </w:pPr>
      <w:rPr>
        <w:rFonts w:ascii="Symbol" w:hAnsi="Symbol" w:hint="default"/>
      </w:rPr>
    </w:lvl>
    <w:lvl w:ilvl="1" w:tplc="04050001">
      <w:start w:val="1"/>
      <w:numFmt w:val="bullet"/>
      <w:lvlText w:val=""/>
      <w:lvlJc w:val="left"/>
      <w:pPr>
        <w:ind w:left="3204" w:hanging="360"/>
      </w:pPr>
      <w:rPr>
        <w:rFonts w:ascii="Symbol" w:hAnsi="Symbol"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7" w15:restartNumberingAfterBreak="0">
    <w:nsid w:val="32F466DE"/>
    <w:multiLevelType w:val="hybridMultilevel"/>
    <w:tmpl w:val="A6CC5D38"/>
    <w:lvl w:ilvl="0" w:tplc="9B72E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38A30B09"/>
    <w:multiLevelType w:val="hybridMultilevel"/>
    <w:tmpl w:val="A6CC5D38"/>
    <w:lvl w:ilvl="0" w:tplc="9B72E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D1601E4"/>
    <w:multiLevelType w:val="hybridMultilevel"/>
    <w:tmpl w:val="E0DCD572"/>
    <w:lvl w:ilvl="0" w:tplc="8FD0A3BE">
      <w:start w:val="1"/>
      <w:numFmt w:val="lowerLetter"/>
      <w:lvlText w:val="%1)"/>
      <w:lvlJc w:val="left"/>
      <w:pPr>
        <w:tabs>
          <w:tab w:val="num" w:pos="720"/>
        </w:tabs>
        <w:ind w:left="720" w:hanging="360"/>
      </w:pPr>
      <w:rPr>
        <w:rFonts w:hint="default"/>
      </w:rPr>
    </w:lvl>
    <w:lvl w:ilvl="1" w:tplc="1E8E85BC" w:tentative="1">
      <w:start w:val="1"/>
      <w:numFmt w:val="lowerLetter"/>
      <w:lvlText w:val="%2."/>
      <w:lvlJc w:val="left"/>
      <w:pPr>
        <w:tabs>
          <w:tab w:val="num" w:pos="1440"/>
        </w:tabs>
        <w:ind w:left="1440" w:hanging="360"/>
      </w:pPr>
    </w:lvl>
    <w:lvl w:ilvl="2" w:tplc="EB9A35E2" w:tentative="1">
      <w:start w:val="1"/>
      <w:numFmt w:val="lowerRoman"/>
      <w:lvlText w:val="%3."/>
      <w:lvlJc w:val="right"/>
      <w:pPr>
        <w:tabs>
          <w:tab w:val="num" w:pos="2160"/>
        </w:tabs>
        <w:ind w:left="2160" w:hanging="180"/>
      </w:pPr>
    </w:lvl>
    <w:lvl w:ilvl="3" w:tplc="AC38775C" w:tentative="1">
      <w:start w:val="1"/>
      <w:numFmt w:val="decimal"/>
      <w:lvlText w:val="%4."/>
      <w:lvlJc w:val="left"/>
      <w:pPr>
        <w:tabs>
          <w:tab w:val="num" w:pos="2880"/>
        </w:tabs>
        <w:ind w:left="2880" w:hanging="360"/>
      </w:pPr>
    </w:lvl>
    <w:lvl w:ilvl="4" w:tplc="9E0237B0" w:tentative="1">
      <w:start w:val="1"/>
      <w:numFmt w:val="lowerLetter"/>
      <w:lvlText w:val="%5."/>
      <w:lvlJc w:val="left"/>
      <w:pPr>
        <w:tabs>
          <w:tab w:val="num" w:pos="3600"/>
        </w:tabs>
        <w:ind w:left="3600" w:hanging="360"/>
      </w:pPr>
    </w:lvl>
    <w:lvl w:ilvl="5" w:tplc="CBAE793A" w:tentative="1">
      <w:start w:val="1"/>
      <w:numFmt w:val="lowerRoman"/>
      <w:lvlText w:val="%6."/>
      <w:lvlJc w:val="right"/>
      <w:pPr>
        <w:tabs>
          <w:tab w:val="num" w:pos="4320"/>
        </w:tabs>
        <w:ind w:left="4320" w:hanging="180"/>
      </w:pPr>
    </w:lvl>
    <w:lvl w:ilvl="6" w:tplc="3C365490" w:tentative="1">
      <w:start w:val="1"/>
      <w:numFmt w:val="decimal"/>
      <w:lvlText w:val="%7."/>
      <w:lvlJc w:val="left"/>
      <w:pPr>
        <w:tabs>
          <w:tab w:val="num" w:pos="5040"/>
        </w:tabs>
        <w:ind w:left="5040" w:hanging="360"/>
      </w:pPr>
    </w:lvl>
    <w:lvl w:ilvl="7" w:tplc="91D296D2" w:tentative="1">
      <w:start w:val="1"/>
      <w:numFmt w:val="lowerLetter"/>
      <w:lvlText w:val="%8."/>
      <w:lvlJc w:val="left"/>
      <w:pPr>
        <w:tabs>
          <w:tab w:val="num" w:pos="5760"/>
        </w:tabs>
        <w:ind w:left="5760" w:hanging="360"/>
      </w:pPr>
    </w:lvl>
    <w:lvl w:ilvl="8" w:tplc="96E43AA8" w:tentative="1">
      <w:start w:val="1"/>
      <w:numFmt w:val="lowerRoman"/>
      <w:lvlText w:val="%9."/>
      <w:lvlJc w:val="right"/>
      <w:pPr>
        <w:tabs>
          <w:tab w:val="num" w:pos="6480"/>
        </w:tabs>
        <w:ind w:left="6480" w:hanging="180"/>
      </w:pPr>
    </w:lvl>
  </w:abstractNum>
  <w:abstractNum w:abstractNumId="10" w15:restartNumberingAfterBreak="0">
    <w:nsid w:val="541B454A"/>
    <w:multiLevelType w:val="hybridMultilevel"/>
    <w:tmpl w:val="3CBE94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34482F"/>
    <w:multiLevelType w:val="hybridMultilevel"/>
    <w:tmpl w:val="BC14CF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D250A3"/>
    <w:multiLevelType w:val="hybridMultilevel"/>
    <w:tmpl w:val="7EBA44A8"/>
    <w:lvl w:ilvl="0" w:tplc="ECFCFD9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70275E02"/>
    <w:multiLevelType w:val="hybridMultilevel"/>
    <w:tmpl w:val="EBF834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0F3AB5"/>
    <w:multiLevelType w:val="hybridMultilevel"/>
    <w:tmpl w:val="A78EA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013EC0"/>
    <w:multiLevelType w:val="hybridMultilevel"/>
    <w:tmpl w:val="D8E2E9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CF47B6"/>
    <w:multiLevelType w:val="hybridMultilevel"/>
    <w:tmpl w:val="A84C0D0E"/>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num w:numId="1">
    <w:abstractNumId w:val="9"/>
  </w:num>
  <w:num w:numId="2">
    <w:abstractNumId w:val="3"/>
  </w:num>
  <w:num w:numId="3">
    <w:abstractNumId w:val="5"/>
  </w:num>
  <w:num w:numId="4">
    <w:abstractNumId w:val="16"/>
  </w:num>
  <w:num w:numId="5">
    <w:abstractNumId w:val="6"/>
  </w:num>
  <w:num w:numId="6">
    <w:abstractNumId w:val="4"/>
  </w:num>
  <w:num w:numId="7">
    <w:abstractNumId w:val="12"/>
  </w:num>
  <w:num w:numId="8">
    <w:abstractNumId w:val="15"/>
  </w:num>
  <w:num w:numId="9">
    <w:abstractNumId w:val="2"/>
  </w:num>
  <w:num w:numId="10">
    <w:abstractNumId w:val="8"/>
  </w:num>
  <w:num w:numId="11">
    <w:abstractNumId w:val="14"/>
  </w:num>
  <w:num w:numId="12">
    <w:abstractNumId w:val="13"/>
  </w:num>
  <w:num w:numId="13">
    <w:abstractNumId w:val="0"/>
  </w:num>
  <w:num w:numId="14">
    <w:abstractNumId w:val="7"/>
  </w:num>
  <w:num w:numId="15">
    <w:abstractNumId w:val="1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62"/>
    <w:rsid w:val="0001378F"/>
    <w:rsid w:val="000266B9"/>
    <w:rsid w:val="00040D64"/>
    <w:rsid w:val="00046702"/>
    <w:rsid w:val="00047640"/>
    <w:rsid w:val="000515F3"/>
    <w:rsid w:val="000535B1"/>
    <w:rsid w:val="00072A6B"/>
    <w:rsid w:val="00081AB4"/>
    <w:rsid w:val="00087058"/>
    <w:rsid w:val="00090745"/>
    <w:rsid w:val="00095BB6"/>
    <w:rsid w:val="000B1EA7"/>
    <w:rsid w:val="000B2624"/>
    <w:rsid w:val="000C6139"/>
    <w:rsid w:val="000C627D"/>
    <w:rsid w:val="000C67C4"/>
    <w:rsid w:val="000D5C5D"/>
    <w:rsid w:val="000E0954"/>
    <w:rsid w:val="001053CF"/>
    <w:rsid w:val="0010649A"/>
    <w:rsid w:val="001170E0"/>
    <w:rsid w:val="001202CD"/>
    <w:rsid w:val="0013648C"/>
    <w:rsid w:val="00145F49"/>
    <w:rsid w:val="001544C9"/>
    <w:rsid w:val="00157537"/>
    <w:rsid w:val="00182C12"/>
    <w:rsid w:val="001927E1"/>
    <w:rsid w:val="00192F5E"/>
    <w:rsid w:val="00195F24"/>
    <w:rsid w:val="001A583E"/>
    <w:rsid w:val="001A76E8"/>
    <w:rsid w:val="001B0A09"/>
    <w:rsid w:val="001E5CB3"/>
    <w:rsid w:val="00211C08"/>
    <w:rsid w:val="002127EE"/>
    <w:rsid w:val="002224B5"/>
    <w:rsid w:val="0023244A"/>
    <w:rsid w:val="00234B2C"/>
    <w:rsid w:val="002463EF"/>
    <w:rsid w:val="00254F88"/>
    <w:rsid w:val="002560FE"/>
    <w:rsid w:val="002572CC"/>
    <w:rsid w:val="0026064A"/>
    <w:rsid w:val="00260A76"/>
    <w:rsid w:val="00261645"/>
    <w:rsid w:val="00286372"/>
    <w:rsid w:val="002A2C79"/>
    <w:rsid w:val="002A6881"/>
    <w:rsid w:val="002C1107"/>
    <w:rsid w:val="002C4723"/>
    <w:rsid w:val="002E11AC"/>
    <w:rsid w:val="002F4EE3"/>
    <w:rsid w:val="00302D9B"/>
    <w:rsid w:val="00316C0D"/>
    <w:rsid w:val="00337430"/>
    <w:rsid w:val="00346B6B"/>
    <w:rsid w:val="00347A59"/>
    <w:rsid w:val="00351E95"/>
    <w:rsid w:val="00362256"/>
    <w:rsid w:val="00367F62"/>
    <w:rsid w:val="00367FA7"/>
    <w:rsid w:val="003724EF"/>
    <w:rsid w:val="00376081"/>
    <w:rsid w:val="00376ACA"/>
    <w:rsid w:val="00387FA9"/>
    <w:rsid w:val="00396567"/>
    <w:rsid w:val="00396D9E"/>
    <w:rsid w:val="003A29AC"/>
    <w:rsid w:val="003C3ED3"/>
    <w:rsid w:val="003C4715"/>
    <w:rsid w:val="003E289F"/>
    <w:rsid w:val="003E2E59"/>
    <w:rsid w:val="003F7CE3"/>
    <w:rsid w:val="00410549"/>
    <w:rsid w:val="00422D77"/>
    <w:rsid w:val="00431953"/>
    <w:rsid w:val="0043382F"/>
    <w:rsid w:val="00433937"/>
    <w:rsid w:val="004519D7"/>
    <w:rsid w:val="00451C1C"/>
    <w:rsid w:val="00452901"/>
    <w:rsid w:val="004609A2"/>
    <w:rsid w:val="0046629C"/>
    <w:rsid w:val="00472B57"/>
    <w:rsid w:val="00474C77"/>
    <w:rsid w:val="00476C34"/>
    <w:rsid w:val="004837F4"/>
    <w:rsid w:val="00484DCB"/>
    <w:rsid w:val="004868F8"/>
    <w:rsid w:val="0049002A"/>
    <w:rsid w:val="0049632B"/>
    <w:rsid w:val="00496395"/>
    <w:rsid w:val="004A78AA"/>
    <w:rsid w:val="004B325E"/>
    <w:rsid w:val="004B44D5"/>
    <w:rsid w:val="004B70E6"/>
    <w:rsid w:val="004C3597"/>
    <w:rsid w:val="004D17CC"/>
    <w:rsid w:val="004E2773"/>
    <w:rsid w:val="004F1DF6"/>
    <w:rsid w:val="004F79B6"/>
    <w:rsid w:val="00506CE2"/>
    <w:rsid w:val="005117F7"/>
    <w:rsid w:val="00511C7C"/>
    <w:rsid w:val="005141AA"/>
    <w:rsid w:val="005242C8"/>
    <w:rsid w:val="0053266C"/>
    <w:rsid w:val="00535BBB"/>
    <w:rsid w:val="0054269F"/>
    <w:rsid w:val="005446D2"/>
    <w:rsid w:val="00552046"/>
    <w:rsid w:val="00554EF5"/>
    <w:rsid w:val="00564A8E"/>
    <w:rsid w:val="00582D55"/>
    <w:rsid w:val="00590BA3"/>
    <w:rsid w:val="00593318"/>
    <w:rsid w:val="00597DEC"/>
    <w:rsid w:val="005A3541"/>
    <w:rsid w:val="005A36A0"/>
    <w:rsid w:val="005A5618"/>
    <w:rsid w:val="005B00C2"/>
    <w:rsid w:val="005B4C54"/>
    <w:rsid w:val="005C1BF9"/>
    <w:rsid w:val="005C2229"/>
    <w:rsid w:val="005C5DE2"/>
    <w:rsid w:val="005C6DC0"/>
    <w:rsid w:val="005D4D1F"/>
    <w:rsid w:val="005E1F1D"/>
    <w:rsid w:val="005E2276"/>
    <w:rsid w:val="005F30A0"/>
    <w:rsid w:val="0060241C"/>
    <w:rsid w:val="0060593F"/>
    <w:rsid w:val="0060625E"/>
    <w:rsid w:val="006137D9"/>
    <w:rsid w:val="00614E7F"/>
    <w:rsid w:val="00624E6A"/>
    <w:rsid w:val="0062684D"/>
    <w:rsid w:val="00633898"/>
    <w:rsid w:val="00642874"/>
    <w:rsid w:val="00643CC4"/>
    <w:rsid w:val="006478F9"/>
    <w:rsid w:val="00667DDC"/>
    <w:rsid w:val="0067025F"/>
    <w:rsid w:val="00674EFC"/>
    <w:rsid w:val="00675B6F"/>
    <w:rsid w:val="00694E56"/>
    <w:rsid w:val="006B38E2"/>
    <w:rsid w:val="006C4C59"/>
    <w:rsid w:val="006E0693"/>
    <w:rsid w:val="006E1C7A"/>
    <w:rsid w:val="006E68B1"/>
    <w:rsid w:val="006E6AC3"/>
    <w:rsid w:val="006F5BA7"/>
    <w:rsid w:val="00704712"/>
    <w:rsid w:val="007161DD"/>
    <w:rsid w:val="00742DEC"/>
    <w:rsid w:val="00752906"/>
    <w:rsid w:val="00761A30"/>
    <w:rsid w:val="007643B4"/>
    <w:rsid w:val="00777C9B"/>
    <w:rsid w:val="007A1FE2"/>
    <w:rsid w:val="007B0636"/>
    <w:rsid w:val="007B0C29"/>
    <w:rsid w:val="007B15A0"/>
    <w:rsid w:val="007B33EC"/>
    <w:rsid w:val="007C22CE"/>
    <w:rsid w:val="007D6BE9"/>
    <w:rsid w:val="007E4450"/>
    <w:rsid w:val="007F611F"/>
    <w:rsid w:val="008031E4"/>
    <w:rsid w:val="00813E69"/>
    <w:rsid w:val="008257DD"/>
    <w:rsid w:val="0082622A"/>
    <w:rsid w:val="0083488D"/>
    <w:rsid w:val="00872C47"/>
    <w:rsid w:val="0088798B"/>
    <w:rsid w:val="00887F7D"/>
    <w:rsid w:val="008A26CA"/>
    <w:rsid w:val="008A4C35"/>
    <w:rsid w:val="008A6294"/>
    <w:rsid w:val="008B4725"/>
    <w:rsid w:val="008B4F20"/>
    <w:rsid w:val="008C7023"/>
    <w:rsid w:val="008D1A73"/>
    <w:rsid w:val="008D4C5E"/>
    <w:rsid w:val="008D7317"/>
    <w:rsid w:val="008F5D4B"/>
    <w:rsid w:val="009117B2"/>
    <w:rsid w:val="00932D88"/>
    <w:rsid w:val="00953167"/>
    <w:rsid w:val="00953673"/>
    <w:rsid w:val="009539D2"/>
    <w:rsid w:val="009564C1"/>
    <w:rsid w:val="00974C6D"/>
    <w:rsid w:val="009771D6"/>
    <w:rsid w:val="00983CE6"/>
    <w:rsid w:val="00990A12"/>
    <w:rsid w:val="00996B2F"/>
    <w:rsid w:val="009A6405"/>
    <w:rsid w:val="009C0775"/>
    <w:rsid w:val="009E17F6"/>
    <w:rsid w:val="009F32CB"/>
    <w:rsid w:val="00A064EF"/>
    <w:rsid w:val="00A1559A"/>
    <w:rsid w:val="00A33CB6"/>
    <w:rsid w:val="00A808BA"/>
    <w:rsid w:val="00A87F40"/>
    <w:rsid w:val="00A97050"/>
    <w:rsid w:val="00AA7F10"/>
    <w:rsid w:val="00AB5C31"/>
    <w:rsid w:val="00AC278D"/>
    <w:rsid w:val="00AD1705"/>
    <w:rsid w:val="00AD2013"/>
    <w:rsid w:val="00AF1147"/>
    <w:rsid w:val="00AF487E"/>
    <w:rsid w:val="00AF4AE4"/>
    <w:rsid w:val="00B0181C"/>
    <w:rsid w:val="00B123D3"/>
    <w:rsid w:val="00B26BE6"/>
    <w:rsid w:val="00B3399A"/>
    <w:rsid w:val="00B41A48"/>
    <w:rsid w:val="00B436F2"/>
    <w:rsid w:val="00B4779E"/>
    <w:rsid w:val="00B70303"/>
    <w:rsid w:val="00B80026"/>
    <w:rsid w:val="00B83B2A"/>
    <w:rsid w:val="00B9020D"/>
    <w:rsid w:val="00BA778E"/>
    <w:rsid w:val="00BB0661"/>
    <w:rsid w:val="00BB5B6B"/>
    <w:rsid w:val="00BC29D2"/>
    <w:rsid w:val="00BD3AFB"/>
    <w:rsid w:val="00C01924"/>
    <w:rsid w:val="00C32E51"/>
    <w:rsid w:val="00C34F3F"/>
    <w:rsid w:val="00C370B6"/>
    <w:rsid w:val="00C41B66"/>
    <w:rsid w:val="00C4229A"/>
    <w:rsid w:val="00C57336"/>
    <w:rsid w:val="00C61DD4"/>
    <w:rsid w:val="00C63ABC"/>
    <w:rsid w:val="00C765EC"/>
    <w:rsid w:val="00C8239A"/>
    <w:rsid w:val="00C85F92"/>
    <w:rsid w:val="00C94CA0"/>
    <w:rsid w:val="00C96195"/>
    <w:rsid w:val="00CA291A"/>
    <w:rsid w:val="00CA6310"/>
    <w:rsid w:val="00CB389C"/>
    <w:rsid w:val="00CC215A"/>
    <w:rsid w:val="00CD3321"/>
    <w:rsid w:val="00CD3ABD"/>
    <w:rsid w:val="00CD55D8"/>
    <w:rsid w:val="00CE0120"/>
    <w:rsid w:val="00CE4F18"/>
    <w:rsid w:val="00CE6CE7"/>
    <w:rsid w:val="00D1125B"/>
    <w:rsid w:val="00D12537"/>
    <w:rsid w:val="00D15A10"/>
    <w:rsid w:val="00D2634C"/>
    <w:rsid w:val="00D319A7"/>
    <w:rsid w:val="00D40694"/>
    <w:rsid w:val="00D42E81"/>
    <w:rsid w:val="00D6085F"/>
    <w:rsid w:val="00D73F0F"/>
    <w:rsid w:val="00D75ED2"/>
    <w:rsid w:val="00D83D11"/>
    <w:rsid w:val="00D86CE2"/>
    <w:rsid w:val="00DA1742"/>
    <w:rsid w:val="00DA3115"/>
    <w:rsid w:val="00DB4A1E"/>
    <w:rsid w:val="00DC232A"/>
    <w:rsid w:val="00DC4C5F"/>
    <w:rsid w:val="00DD7D1A"/>
    <w:rsid w:val="00E05854"/>
    <w:rsid w:val="00E07B58"/>
    <w:rsid w:val="00E206C2"/>
    <w:rsid w:val="00E22BD3"/>
    <w:rsid w:val="00E33645"/>
    <w:rsid w:val="00E35AC4"/>
    <w:rsid w:val="00E35BA4"/>
    <w:rsid w:val="00E46A7A"/>
    <w:rsid w:val="00E615AD"/>
    <w:rsid w:val="00E71037"/>
    <w:rsid w:val="00E7212D"/>
    <w:rsid w:val="00E903FE"/>
    <w:rsid w:val="00EA521D"/>
    <w:rsid w:val="00EC3B04"/>
    <w:rsid w:val="00EC5F09"/>
    <w:rsid w:val="00ED5CE2"/>
    <w:rsid w:val="00ED6B10"/>
    <w:rsid w:val="00EF3442"/>
    <w:rsid w:val="00F26170"/>
    <w:rsid w:val="00F27275"/>
    <w:rsid w:val="00F463DF"/>
    <w:rsid w:val="00F520F8"/>
    <w:rsid w:val="00F56123"/>
    <w:rsid w:val="00F601EC"/>
    <w:rsid w:val="00F624CE"/>
    <w:rsid w:val="00F63735"/>
    <w:rsid w:val="00F6778B"/>
    <w:rsid w:val="00F90733"/>
    <w:rsid w:val="00F9099F"/>
    <w:rsid w:val="00F974F1"/>
    <w:rsid w:val="00FC0F49"/>
    <w:rsid w:val="00FC4444"/>
    <w:rsid w:val="00FE156D"/>
    <w:rsid w:val="00FF50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40FBCB63"/>
  <w15:docId w15:val="{05079198-BDFF-42C8-A7A8-4AB0FD1D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Pr>
      <w:sz w:val="24"/>
    </w:rPr>
  </w:style>
  <w:style w:type="paragraph" w:styleId="Nadpis4">
    <w:name w:val="heading 4"/>
    <w:basedOn w:val="Normln"/>
    <w:next w:val="Normln"/>
    <w:qFormat/>
    <w:pPr>
      <w:keepNext/>
      <w:spacing w:line="360" w:lineRule="auto"/>
      <w:outlineLvl w:val="3"/>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firstLine="708"/>
      <w:jc w:val="both"/>
    </w:pPr>
  </w:style>
  <w:style w:type="paragraph" w:styleId="Zkladntext">
    <w:name w:val="Body Text"/>
    <w:basedOn w:val="Normln"/>
    <w:rPr>
      <w:b/>
    </w:rPr>
  </w:style>
  <w:style w:type="paragraph" w:styleId="Zkladntextodsazen2">
    <w:name w:val="Body Text Indent 2"/>
    <w:basedOn w:val="Normln"/>
    <w:pPr>
      <w:ind w:firstLine="715"/>
    </w:pPr>
  </w:style>
  <w:style w:type="paragraph" w:styleId="Rozloendokumentu">
    <w:name w:val="Document Map"/>
    <w:basedOn w:val="Normln"/>
    <w:semiHidden/>
    <w:pPr>
      <w:shd w:val="clear" w:color="auto" w:fill="000080"/>
    </w:pPr>
    <w:rPr>
      <w:rFonts w:ascii="Tahoma" w:hAnsi="Tahoma"/>
    </w:rPr>
  </w:style>
  <w:style w:type="paragraph" w:styleId="Zkladntext2">
    <w:name w:val="Body Text 2"/>
    <w:basedOn w:val="Normln"/>
    <w:pPr>
      <w:jc w:val="center"/>
    </w:pPr>
    <w:rPr>
      <w:b/>
      <w:u w:val="single"/>
    </w:rPr>
  </w:style>
  <w:style w:type="character" w:styleId="Siln">
    <w:name w:val="Strong"/>
    <w:qFormat/>
    <w:rPr>
      <w:b/>
      <w:bCs/>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styleId="Normlnweb">
    <w:name w:val="Normal (Web)"/>
    <w:basedOn w:val="Normln"/>
    <w:pPr>
      <w:spacing w:before="100" w:beforeAutospacing="1" w:after="100" w:afterAutospacing="1"/>
    </w:pPr>
    <w:rPr>
      <w:sz w:val="20"/>
    </w:rPr>
  </w:style>
  <w:style w:type="paragraph" w:styleId="Textbubliny">
    <w:name w:val="Balloon Text"/>
    <w:basedOn w:val="Normln"/>
    <w:semiHidden/>
    <w:rsid w:val="00C63ABC"/>
    <w:rPr>
      <w:rFonts w:ascii="Tahoma" w:hAnsi="Tahoma" w:cs="Tahoma"/>
      <w:sz w:val="16"/>
      <w:szCs w:val="16"/>
    </w:rPr>
  </w:style>
  <w:style w:type="character" w:styleId="Odkaznakoment">
    <w:name w:val="annotation reference"/>
    <w:uiPriority w:val="99"/>
    <w:semiHidden/>
    <w:unhideWhenUsed/>
    <w:rsid w:val="002A6881"/>
    <w:rPr>
      <w:sz w:val="16"/>
      <w:szCs w:val="16"/>
    </w:rPr>
  </w:style>
  <w:style w:type="paragraph" w:styleId="Textkomente">
    <w:name w:val="annotation text"/>
    <w:basedOn w:val="Normln"/>
    <w:link w:val="TextkomenteChar"/>
    <w:uiPriority w:val="99"/>
    <w:semiHidden/>
    <w:unhideWhenUsed/>
    <w:rsid w:val="002A6881"/>
    <w:rPr>
      <w:sz w:val="20"/>
    </w:rPr>
  </w:style>
  <w:style w:type="character" w:customStyle="1" w:styleId="TextkomenteChar">
    <w:name w:val="Text komentáře Char"/>
    <w:basedOn w:val="Standardnpsmoodstavce"/>
    <w:link w:val="Textkomente"/>
    <w:uiPriority w:val="99"/>
    <w:semiHidden/>
    <w:rsid w:val="002A6881"/>
  </w:style>
  <w:style w:type="paragraph" w:styleId="Pedmtkomente">
    <w:name w:val="annotation subject"/>
    <w:basedOn w:val="Textkomente"/>
    <w:next w:val="Textkomente"/>
    <w:link w:val="PedmtkomenteChar"/>
    <w:uiPriority w:val="99"/>
    <w:semiHidden/>
    <w:unhideWhenUsed/>
    <w:rsid w:val="002A6881"/>
    <w:rPr>
      <w:b/>
      <w:bCs/>
    </w:rPr>
  </w:style>
  <w:style w:type="character" w:customStyle="1" w:styleId="PedmtkomenteChar">
    <w:name w:val="Předmět komentáře Char"/>
    <w:link w:val="Pedmtkomente"/>
    <w:uiPriority w:val="99"/>
    <w:semiHidden/>
    <w:rsid w:val="002A6881"/>
    <w:rPr>
      <w:b/>
      <w:bCs/>
    </w:rPr>
  </w:style>
  <w:style w:type="character" w:customStyle="1" w:styleId="ZkladntextodsazenChar">
    <w:name w:val="Základní text odsazený Char"/>
    <w:link w:val="Zkladntextodsazen"/>
    <w:rsid w:val="00145F49"/>
    <w:rPr>
      <w:sz w:val="24"/>
    </w:rPr>
  </w:style>
  <w:style w:type="paragraph" w:styleId="Odstavecseseznamem">
    <w:name w:val="List Paragraph"/>
    <w:basedOn w:val="Normln"/>
    <w:uiPriority w:val="34"/>
    <w:qFormat/>
    <w:rsid w:val="00B0181C"/>
    <w:pPr>
      <w:ind w:left="720"/>
    </w:pPr>
    <w:rPr>
      <w:rFonts w:eastAsiaTheme="minorHAnsi"/>
      <w:szCs w:val="24"/>
    </w:rPr>
  </w:style>
  <w:style w:type="character" w:customStyle="1" w:styleId="DvodovzprvaChar">
    <w:name w:val="Důvodová zpráva Char"/>
    <w:basedOn w:val="Standardnpsmoodstavce"/>
    <w:link w:val="Dvodovzprva"/>
    <w:locked/>
    <w:rsid w:val="001170E0"/>
    <w:rPr>
      <w:rFonts w:ascii="Arial" w:hAnsi="Arial" w:cs="Arial"/>
      <w:color w:val="0000FF"/>
    </w:rPr>
  </w:style>
  <w:style w:type="paragraph" w:customStyle="1" w:styleId="Dvodovzprva">
    <w:name w:val="Důvodová zpráva"/>
    <w:basedOn w:val="Normln"/>
    <w:link w:val="DvodovzprvaChar"/>
    <w:rsid w:val="001170E0"/>
    <w:pPr>
      <w:keepNext/>
      <w:spacing w:before="120"/>
      <w:jc w:val="both"/>
    </w:pPr>
    <w:rPr>
      <w:rFonts w:ascii="Arial" w:hAnsi="Arial" w:cs="Arial"/>
      <w:color w:val="0000FF"/>
      <w:sz w:val="20"/>
    </w:rPr>
  </w:style>
  <w:style w:type="paragraph" w:customStyle="1" w:styleId="n00">
    <w:name w:val="n00"/>
    <w:basedOn w:val="Normln"/>
    <w:rsid w:val="004F1DF6"/>
    <w:pPr>
      <w:spacing w:before="120"/>
      <w:jc w:val="both"/>
    </w:pPr>
    <w:rPr>
      <w:sz w:val="26"/>
    </w:rPr>
  </w:style>
  <w:style w:type="character" w:customStyle="1" w:styleId="ZpatChar">
    <w:name w:val="Zápatí Char"/>
    <w:basedOn w:val="Standardnpsmoodstavce"/>
    <w:link w:val="Zpat"/>
    <w:uiPriority w:val="99"/>
    <w:rsid w:val="00CB38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26805">
      <w:bodyDiv w:val="1"/>
      <w:marLeft w:val="0"/>
      <w:marRight w:val="0"/>
      <w:marTop w:val="0"/>
      <w:marBottom w:val="0"/>
      <w:divBdr>
        <w:top w:val="none" w:sz="0" w:space="0" w:color="auto"/>
        <w:left w:val="none" w:sz="0" w:space="0" w:color="auto"/>
        <w:bottom w:val="none" w:sz="0" w:space="0" w:color="auto"/>
        <w:right w:val="none" w:sz="0" w:space="0" w:color="auto"/>
      </w:divBdr>
    </w:div>
    <w:div w:id="945771110">
      <w:bodyDiv w:val="1"/>
      <w:marLeft w:val="0"/>
      <w:marRight w:val="0"/>
      <w:marTop w:val="0"/>
      <w:marBottom w:val="0"/>
      <w:divBdr>
        <w:top w:val="none" w:sz="0" w:space="0" w:color="auto"/>
        <w:left w:val="none" w:sz="0" w:space="0" w:color="auto"/>
        <w:bottom w:val="none" w:sz="0" w:space="0" w:color="auto"/>
        <w:right w:val="none" w:sz="0" w:space="0" w:color="auto"/>
      </w:divBdr>
    </w:div>
    <w:div w:id="947546148">
      <w:bodyDiv w:val="1"/>
      <w:marLeft w:val="0"/>
      <w:marRight w:val="0"/>
      <w:marTop w:val="0"/>
      <w:marBottom w:val="0"/>
      <w:divBdr>
        <w:top w:val="none" w:sz="0" w:space="0" w:color="auto"/>
        <w:left w:val="none" w:sz="0" w:space="0" w:color="auto"/>
        <w:bottom w:val="none" w:sz="0" w:space="0" w:color="auto"/>
        <w:right w:val="none" w:sz="0" w:space="0" w:color="auto"/>
      </w:divBdr>
    </w:div>
    <w:div w:id="965427925">
      <w:bodyDiv w:val="1"/>
      <w:marLeft w:val="0"/>
      <w:marRight w:val="0"/>
      <w:marTop w:val="0"/>
      <w:marBottom w:val="0"/>
      <w:divBdr>
        <w:top w:val="none" w:sz="0" w:space="0" w:color="auto"/>
        <w:left w:val="none" w:sz="0" w:space="0" w:color="auto"/>
        <w:bottom w:val="none" w:sz="0" w:space="0" w:color="auto"/>
        <w:right w:val="none" w:sz="0" w:space="0" w:color="auto"/>
      </w:divBdr>
    </w:div>
    <w:div w:id="1623539439">
      <w:bodyDiv w:val="1"/>
      <w:marLeft w:val="0"/>
      <w:marRight w:val="0"/>
      <w:marTop w:val="0"/>
      <w:marBottom w:val="0"/>
      <w:divBdr>
        <w:top w:val="none" w:sz="0" w:space="0" w:color="auto"/>
        <w:left w:val="none" w:sz="0" w:space="0" w:color="auto"/>
        <w:bottom w:val="none" w:sz="0" w:space="0" w:color="auto"/>
        <w:right w:val="none" w:sz="0" w:space="0" w:color="auto"/>
      </w:divBdr>
      <w:divsChild>
        <w:div w:id="1847210981">
          <w:marLeft w:val="0"/>
          <w:marRight w:val="0"/>
          <w:marTop w:val="0"/>
          <w:marBottom w:val="0"/>
          <w:divBdr>
            <w:top w:val="none" w:sz="0" w:space="0" w:color="auto"/>
            <w:left w:val="none" w:sz="0" w:space="0" w:color="auto"/>
            <w:bottom w:val="none" w:sz="0" w:space="0" w:color="auto"/>
            <w:right w:val="none" w:sz="0" w:space="0" w:color="auto"/>
          </w:divBdr>
          <w:divsChild>
            <w:div w:id="593514307">
              <w:marLeft w:val="0"/>
              <w:marRight w:val="0"/>
              <w:marTop w:val="0"/>
              <w:marBottom w:val="0"/>
              <w:divBdr>
                <w:top w:val="none" w:sz="0" w:space="0" w:color="auto"/>
                <w:left w:val="none" w:sz="0" w:space="0" w:color="auto"/>
                <w:bottom w:val="none" w:sz="0" w:space="0" w:color="auto"/>
                <w:right w:val="none" w:sz="0" w:space="0" w:color="auto"/>
              </w:divBdr>
              <w:divsChild>
                <w:div w:id="939609294">
                  <w:marLeft w:val="0"/>
                  <w:marRight w:val="0"/>
                  <w:marTop w:val="0"/>
                  <w:marBottom w:val="0"/>
                  <w:divBdr>
                    <w:top w:val="none" w:sz="0" w:space="0" w:color="auto"/>
                    <w:left w:val="none" w:sz="0" w:space="0" w:color="auto"/>
                    <w:bottom w:val="none" w:sz="0" w:space="0" w:color="auto"/>
                    <w:right w:val="none" w:sz="0" w:space="0" w:color="auto"/>
                  </w:divBdr>
                  <w:divsChild>
                    <w:div w:id="8905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4051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Mgr</vt:lpstr>
    </vt:vector>
  </TitlesOfParts>
  <Company>Microsoft</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dc:title>
  <dc:subject/>
  <dc:creator>SMO</dc:creator>
  <cp:keywords/>
  <cp:lastModifiedBy>Zdeněk Nejezchleb</cp:lastModifiedBy>
  <cp:revision>2</cp:revision>
  <cp:lastPrinted>2015-06-12T09:18:00Z</cp:lastPrinted>
  <dcterms:created xsi:type="dcterms:W3CDTF">2016-05-18T10:09:00Z</dcterms:created>
  <dcterms:modified xsi:type="dcterms:W3CDTF">2016-05-18T10:09:00Z</dcterms:modified>
</cp:coreProperties>
</file>