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F5627" w14:textId="77777777" w:rsidR="00887F7D" w:rsidRDefault="00887F7D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14:paraId="1E18DEA0" w14:textId="77777777" w:rsidR="005B00C2" w:rsidRDefault="005B00C2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14:paraId="50D7C569" w14:textId="1CCF271B" w:rsidR="00087058" w:rsidRDefault="00590BA3" w:rsidP="0043492D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i/>
        </w:rPr>
      </w:pPr>
      <w:r>
        <w:rPr>
          <w:b/>
        </w:rPr>
        <w:tab/>
      </w:r>
    </w:p>
    <w:p w14:paraId="4956F83C" w14:textId="77777777" w:rsidR="00582D55" w:rsidRDefault="00582D55" w:rsidP="0083488D">
      <w:pPr>
        <w:spacing w:before="120"/>
        <w:jc w:val="both"/>
        <w:rPr>
          <w:b/>
        </w:rPr>
      </w:pPr>
    </w:p>
    <w:p w14:paraId="7F362CA9" w14:textId="2BC9E072" w:rsidR="00EF6A89" w:rsidRDefault="00E2274D" w:rsidP="0043492D">
      <w:pPr>
        <w:spacing w:before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b/>
        </w:rPr>
        <w:t>Věc</w:t>
      </w:r>
      <w:r w:rsidRPr="00496387">
        <w:rPr>
          <w:b/>
        </w:rPr>
        <w:t xml:space="preserve">: </w:t>
      </w:r>
      <w:r w:rsidR="003B6124" w:rsidRPr="00496387">
        <w:rPr>
          <w:rFonts w:ascii="Arial" w:hAnsi="Arial" w:cs="Arial"/>
          <w:b/>
          <w:sz w:val="22"/>
          <w:szCs w:val="22"/>
        </w:rPr>
        <w:t xml:space="preserve">Odpočet DPH při výstavbě sítí v rámci přípravy parcel pro výstavbu </w:t>
      </w:r>
      <w:proofErr w:type="gramStart"/>
      <w:r w:rsidR="003B6124" w:rsidRPr="00496387">
        <w:rPr>
          <w:rFonts w:ascii="Arial" w:hAnsi="Arial" w:cs="Arial"/>
          <w:b/>
          <w:sz w:val="22"/>
          <w:szCs w:val="22"/>
        </w:rPr>
        <w:t>RD</w:t>
      </w:r>
      <w:r w:rsidR="00EF6A89">
        <w:rPr>
          <w:rFonts w:ascii="Arial" w:hAnsi="Arial" w:cs="Arial"/>
          <w:b/>
          <w:sz w:val="22"/>
          <w:szCs w:val="22"/>
        </w:rPr>
        <w:t xml:space="preserve"> - doplnění</w:t>
      </w:r>
      <w:proofErr w:type="gramEnd"/>
    </w:p>
    <w:p w14:paraId="6D26FDC6" w14:textId="1CC9E184" w:rsidR="00EF6A89" w:rsidRDefault="00EF6A89" w:rsidP="0043492D">
      <w:pPr>
        <w:spacing w:before="120"/>
        <w:ind w:left="567" w:hanging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DD4D90" w14:textId="3F5A799E" w:rsidR="00EF6A89" w:rsidRPr="00EF6A89" w:rsidRDefault="00EF6A89" w:rsidP="00EF6A89">
      <w:p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</w:t>
      </w:r>
      <w:r w:rsidRPr="00EF6A89">
        <w:rPr>
          <w:rFonts w:ascii="Arial" w:hAnsi="Arial" w:cs="Arial"/>
          <w:b/>
          <w:i/>
          <w:sz w:val="22"/>
          <w:szCs w:val="22"/>
        </w:rPr>
        <w:t>ozn. – tento dopis navazuje na naši korespondenci mezi GFŘ a SMO z 1. pol. 2017</w:t>
      </w:r>
      <w:r>
        <w:rPr>
          <w:rFonts w:ascii="Arial" w:hAnsi="Arial" w:cs="Arial"/>
          <w:b/>
          <w:i/>
          <w:sz w:val="22"/>
          <w:szCs w:val="22"/>
        </w:rPr>
        <w:t xml:space="preserve"> (jednotlivé dokumenty přikládáme k tomuto dopisu)</w:t>
      </w:r>
    </w:p>
    <w:p w14:paraId="4151372E" w14:textId="0CF8738D" w:rsidR="00496387" w:rsidRPr="00496387" w:rsidRDefault="00496387" w:rsidP="0043492D">
      <w:pPr>
        <w:spacing w:before="120"/>
        <w:ind w:left="567" w:hanging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9524F5" w14:textId="4DB7A2E5" w:rsidR="003B6124" w:rsidRDefault="003B6124" w:rsidP="0043492D">
      <w:pPr>
        <w:spacing w:before="120"/>
        <w:ind w:left="567" w:hanging="567"/>
        <w:jc w:val="both"/>
        <w:rPr>
          <w:b/>
        </w:rPr>
      </w:pPr>
    </w:p>
    <w:p w14:paraId="20EDF95E" w14:textId="77777777" w:rsidR="00496387" w:rsidRDefault="00496387" w:rsidP="003B6124">
      <w:pPr>
        <w:spacing w:before="120"/>
        <w:jc w:val="both"/>
      </w:pPr>
      <w:r>
        <w:t>Vážený pane inženýre,</w:t>
      </w:r>
    </w:p>
    <w:p w14:paraId="5222EE25" w14:textId="6928F82A" w:rsidR="00EF6A89" w:rsidRDefault="00496387" w:rsidP="00496387">
      <w:pPr>
        <w:spacing w:before="120"/>
        <w:ind w:firstLine="709"/>
        <w:jc w:val="both"/>
      </w:pPr>
      <w:r>
        <w:t xml:space="preserve">chtěli bychom </w:t>
      </w:r>
      <w:r w:rsidR="00EF6A89">
        <w:t>navázat na naši korespondenci z 1. pol. 2017, která se týkala otázky možného odpočtu DPH z výstavby sítí obcemi v souvislosti s přípravou a prodejem parcel určených pro výstavbu RD.</w:t>
      </w:r>
    </w:p>
    <w:p w14:paraId="63C541BE" w14:textId="7CAFD103" w:rsidR="00EF6A89" w:rsidRDefault="00EF6A89" w:rsidP="00496387">
      <w:pPr>
        <w:spacing w:before="120"/>
        <w:ind w:firstLine="709"/>
        <w:jc w:val="both"/>
      </w:pPr>
      <w:r>
        <w:t>V našich dotazech jsme zejména žádali o vysvětlení důvodu nemožnosti odpočtu při výstavbě veřejného osvětlení a veřejného rozhlasu, a to například ve vazbě na judikát Evropského soudního dvora č. C-126/14 (případ SVEDA).</w:t>
      </w:r>
    </w:p>
    <w:p w14:paraId="7FF258B9" w14:textId="31511419" w:rsidR="00EF6A89" w:rsidRDefault="00EF6A89" w:rsidP="00496387">
      <w:pPr>
        <w:spacing w:before="120"/>
        <w:ind w:firstLine="709"/>
        <w:jc w:val="both"/>
      </w:pPr>
      <w:r>
        <w:t>Ve svém dopise ze dne 29. 5. 2017 Generální finanční ředitelství možnost odpočtu DPH opětovně odmítlo. Jako jeden z argumentů jste použi</w:t>
      </w:r>
      <w:r w:rsidR="0078480B">
        <w:t>li i stanovisko G</w:t>
      </w:r>
      <w:r>
        <w:t>enerálního advokáta</w:t>
      </w:r>
      <w:r w:rsidR="0078480B">
        <w:t xml:space="preserve"> v probíhajícím případu C-132/16 (</w:t>
      </w:r>
      <w:proofErr w:type="spellStart"/>
      <w:r w:rsidR="0078480B">
        <w:t>Iberdrola</w:t>
      </w:r>
      <w:proofErr w:type="spellEnd"/>
      <w:r w:rsidR="0078480B">
        <w:t>) – viz následující citace:</w:t>
      </w:r>
    </w:p>
    <w:p w14:paraId="6682002A" w14:textId="77777777" w:rsidR="0078480B" w:rsidRDefault="0078480B" w:rsidP="00496387">
      <w:pPr>
        <w:spacing w:before="120"/>
        <w:ind w:firstLine="709"/>
        <w:jc w:val="both"/>
      </w:pPr>
    </w:p>
    <w:p w14:paraId="200AFBE1" w14:textId="1EEC2A32" w:rsidR="00EF6A89" w:rsidRPr="0078480B" w:rsidRDefault="00EF6A89" w:rsidP="0078480B">
      <w:pPr>
        <w:shd w:val="clear" w:color="auto" w:fill="EEECE1" w:themeFill="background2"/>
        <w:autoSpaceDE w:val="0"/>
        <w:autoSpaceDN w:val="0"/>
        <w:adjustRightInd w:val="0"/>
        <w:ind w:firstLine="709"/>
        <w:jc w:val="both"/>
        <w:rPr>
          <w:sz w:val="20"/>
        </w:rPr>
      </w:pPr>
      <w:r w:rsidRPr="0078480B">
        <w:rPr>
          <w:rFonts w:ascii="Arial" w:hAnsi="Arial" w:cs="Arial"/>
          <w:sz w:val="20"/>
        </w:rPr>
        <w:t xml:space="preserve">Výše uvedené vyvodila i Generální advokátka ve věci C-132/16 </w:t>
      </w:r>
      <w:proofErr w:type="spellStart"/>
      <w:r w:rsidRPr="0078480B">
        <w:rPr>
          <w:rFonts w:ascii="Arial" w:hAnsi="Arial" w:cs="Arial"/>
          <w:sz w:val="20"/>
        </w:rPr>
        <w:t>Iberdrola</w:t>
      </w:r>
      <w:proofErr w:type="spellEnd"/>
      <w:r w:rsidRPr="0078480B">
        <w:rPr>
          <w:rFonts w:ascii="Arial" w:hAnsi="Arial" w:cs="Arial"/>
          <w:sz w:val="20"/>
        </w:rPr>
        <w:t xml:space="preserve"> </w:t>
      </w:r>
      <w:proofErr w:type="spellStart"/>
      <w:r w:rsidRPr="0078480B">
        <w:rPr>
          <w:rFonts w:ascii="Arial" w:hAnsi="Arial" w:cs="Arial"/>
          <w:sz w:val="20"/>
        </w:rPr>
        <w:t>Inmobiliaria</w:t>
      </w:r>
      <w:proofErr w:type="spellEnd"/>
      <w:r w:rsidRPr="0078480B">
        <w:rPr>
          <w:rFonts w:ascii="Arial" w:hAnsi="Arial" w:cs="Arial"/>
          <w:sz w:val="20"/>
        </w:rPr>
        <w:t xml:space="preserve"> Real</w:t>
      </w:r>
      <w:r w:rsidR="0078480B">
        <w:rPr>
          <w:rFonts w:ascii="Arial" w:hAnsi="Arial" w:cs="Arial"/>
          <w:sz w:val="20"/>
        </w:rPr>
        <w:t xml:space="preserve"> </w:t>
      </w:r>
      <w:proofErr w:type="spellStart"/>
      <w:r w:rsidRPr="0078480B">
        <w:rPr>
          <w:rFonts w:ascii="Arial" w:hAnsi="Arial" w:cs="Arial"/>
          <w:sz w:val="20"/>
        </w:rPr>
        <w:t>Estate</w:t>
      </w:r>
      <w:proofErr w:type="spellEnd"/>
      <w:r w:rsidRPr="0078480B">
        <w:rPr>
          <w:rFonts w:ascii="Arial" w:hAnsi="Arial" w:cs="Arial"/>
          <w:sz w:val="20"/>
        </w:rPr>
        <w:t xml:space="preserve"> </w:t>
      </w:r>
      <w:proofErr w:type="spellStart"/>
      <w:r w:rsidRPr="0078480B">
        <w:rPr>
          <w:rFonts w:ascii="Arial" w:hAnsi="Arial" w:cs="Arial"/>
          <w:sz w:val="20"/>
        </w:rPr>
        <w:t>Investments</w:t>
      </w:r>
      <w:proofErr w:type="spellEnd"/>
      <w:r w:rsidRPr="0078480B">
        <w:rPr>
          <w:rFonts w:ascii="Arial" w:hAnsi="Arial" w:cs="Arial"/>
          <w:sz w:val="20"/>
        </w:rPr>
        <w:t>, čímž provedenou analýzou k výš</w:t>
      </w:r>
      <w:r w:rsidR="0078480B" w:rsidRPr="0078480B">
        <w:rPr>
          <w:rFonts w:ascii="Arial" w:hAnsi="Arial" w:cs="Arial"/>
          <w:sz w:val="20"/>
        </w:rPr>
        <w:t>e uvedenému rozsudku SDEU C-</w:t>
      </w:r>
      <w:r w:rsidRPr="0078480B">
        <w:rPr>
          <w:rFonts w:ascii="Arial" w:hAnsi="Arial" w:cs="Arial"/>
          <w:sz w:val="20"/>
        </w:rPr>
        <w:t xml:space="preserve">126/14 </w:t>
      </w:r>
      <w:proofErr w:type="spellStart"/>
      <w:r w:rsidRPr="0078480B">
        <w:rPr>
          <w:rFonts w:ascii="Arial" w:hAnsi="Arial" w:cs="Arial"/>
          <w:sz w:val="20"/>
        </w:rPr>
        <w:t>Sved</w:t>
      </w:r>
      <w:bookmarkStart w:id="0" w:name="_GoBack"/>
      <w:bookmarkEnd w:id="0"/>
      <w:r w:rsidRPr="0078480B">
        <w:rPr>
          <w:rFonts w:ascii="Arial" w:hAnsi="Arial" w:cs="Arial"/>
          <w:sz w:val="20"/>
        </w:rPr>
        <w:t>a</w:t>
      </w:r>
      <w:proofErr w:type="spellEnd"/>
      <w:r w:rsidRPr="0078480B">
        <w:rPr>
          <w:rFonts w:ascii="Arial" w:hAnsi="Arial" w:cs="Arial"/>
          <w:sz w:val="20"/>
        </w:rPr>
        <w:t xml:space="preserve"> plně odpověděla na Vaši otázku.</w:t>
      </w:r>
    </w:p>
    <w:p w14:paraId="69E9E8D2" w14:textId="1CB7E841" w:rsidR="00EF6A89" w:rsidRDefault="0078480B" w:rsidP="00496387">
      <w:pPr>
        <w:spacing w:before="120"/>
        <w:ind w:firstLine="709"/>
        <w:jc w:val="both"/>
      </w:pPr>
      <w:r>
        <w:t>Nicméně v případu C-132/16 rozhodl Evropský soudní dvůr dne 14. 9. 2017 tak, že se ke stanovisku Generálního advokáta nepřiklonil, a naopak potvrdil příslušné společnosti nárok na odpočet DPH v rozsahu vstupů, které úzce souvisí s poskytovanými zdaňovanými plněními.</w:t>
      </w:r>
    </w:p>
    <w:p w14:paraId="52F0A93D" w14:textId="3E5E6DBA" w:rsidR="0078480B" w:rsidRDefault="0078480B" w:rsidP="00496387">
      <w:pPr>
        <w:spacing w:before="120"/>
        <w:ind w:firstLine="709"/>
        <w:jc w:val="both"/>
      </w:pPr>
      <w:r>
        <w:t>Citujeme z rozsudku:</w:t>
      </w:r>
    </w:p>
    <w:p w14:paraId="47A4594D" w14:textId="6F013BAF" w:rsidR="0078480B" w:rsidRPr="0078480B" w:rsidRDefault="0078480B" w:rsidP="0078480B">
      <w:pPr>
        <w:shd w:val="clear" w:color="auto" w:fill="EEECE1" w:themeFill="background2"/>
        <w:spacing w:before="120"/>
        <w:ind w:firstLine="709"/>
        <w:jc w:val="both"/>
      </w:pPr>
      <w:r w:rsidRPr="0078480B">
        <w:rPr>
          <w:rFonts w:ascii="Verdana" w:hAnsi="Verdana"/>
          <w:bCs/>
          <w:color w:val="333333"/>
          <w:sz w:val="18"/>
          <w:szCs w:val="18"/>
          <w:highlight w:val="lightGray"/>
          <w:shd w:val="clear" w:color="auto" w:fill="FFFFFF"/>
        </w:rPr>
        <w:t>Článek 168 písm. a) směrnice Rady 2006/112/ES ze dne 28. listopadu 2006 o společném systému daně z přidané hodnoty musí být vykládán v tom smyslu, že osoba povinná k dani má nárok na odpočet daně z přidané hodnoty zaplacené na vstupu za poskytnutí služeb spočívajících ve výstavbě nebo zhodnocení nemovitosti, jejímž vlastníkem je třetí osoba, jestliže tato třetí osoba získá výsledek těchto služeb bezúplatně a tyto služby využívají jak tato osoba povinná k dani, tak třetí osoba v rámci své ekonomické činnosti, pokud uvedené služby nejdou nad rámec toho, co je nezbytné k tomu, aby daná osoba povinná k dani mohla uskutečnit svá zdaněná plnění na výstupu a pokud jsou jejich náklady zahrnuty do ceny těchto plnění.</w:t>
      </w:r>
    </w:p>
    <w:p w14:paraId="1C269E41" w14:textId="234FF263" w:rsidR="0078480B" w:rsidRDefault="0078480B" w:rsidP="00496387">
      <w:pPr>
        <w:spacing w:before="120"/>
        <w:ind w:firstLine="709"/>
        <w:jc w:val="both"/>
      </w:pPr>
      <w:r>
        <w:t xml:space="preserve">Jestliže GFŘ ve své odpovědi považovalo případ </w:t>
      </w:r>
      <w:proofErr w:type="spellStart"/>
      <w:r>
        <w:t>Iberdrola</w:t>
      </w:r>
      <w:proofErr w:type="spellEnd"/>
      <w:r>
        <w:t xml:space="preserve"> za vysvětlující ke zdůvodnění nemožnosti uplatnění odpočtu u inkriminovaných sítí (posle stanoviska Generálního advokáta), znamená následné rozhodnutí ESD potvrzující nárok na odpočet DPH to, že by odpočet daně měl být přiznán i v případě sítí popsaných v naší předchozí </w:t>
      </w:r>
      <w:r>
        <w:lastRenderedPageBreak/>
        <w:t xml:space="preserve">korespondenci? </w:t>
      </w:r>
      <w:r w:rsidR="00571CEF">
        <w:t>Pokud by daný případ nyní podle Vašeho názoru analogii nepředstavoval, je nezbytné vysvětlení, z jakého důvodu byl v předchozí odpovědi GFŘ jako analogický použit.</w:t>
      </w:r>
    </w:p>
    <w:p w14:paraId="18B0502F" w14:textId="016C7B49" w:rsidR="005107FB" w:rsidRDefault="005107FB" w:rsidP="005107FB">
      <w:pPr>
        <w:spacing w:before="120"/>
        <w:ind w:left="66" w:firstLine="360"/>
        <w:jc w:val="both"/>
      </w:pPr>
      <w:r>
        <w:t>S ohledem na výše uved</w:t>
      </w:r>
      <w:r w:rsidR="0078480B">
        <w:t xml:space="preserve">ené si Vás tedy dovolujeme opětovně </w:t>
      </w:r>
      <w:r>
        <w:t xml:space="preserve">požádat o </w:t>
      </w:r>
      <w:r w:rsidR="0078480B">
        <w:t>vysvětlení a to jak</w:t>
      </w:r>
      <w:r>
        <w:t xml:space="preserve">o </w:t>
      </w:r>
      <w:r w:rsidR="0078480B">
        <w:t>na dříve</w:t>
      </w:r>
      <w:r>
        <w:t xml:space="preserve"> judikovaný případ SVEDA</w:t>
      </w:r>
      <w:r w:rsidR="0078480B">
        <w:t xml:space="preserve">, tak i na nově judikovaný </w:t>
      </w:r>
      <w:proofErr w:type="gramStart"/>
      <w:r w:rsidR="0078480B">
        <w:t xml:space="preserve">případ </w:t>
      </w:r>
      <w:r>
        <w:t xml:space="preserve"> </w:t>
      </w:r>
      <w:r w:rsidR="00571CEF">
        <w:t>IBERDROLA</w:t>
      </w:r>
      <w:proofErr w:type="gramEnd"/>
      <w:r w:rsidR="00571CEF">
        <w:t xml:space="preserve">. Stále považujeme za důležité, aby v odpovědi bylo odděleně uvažováno pořizování sítí v </w:t>
      </w:r>
      <w:proofErr w:type="gramStart"/>
      <w:r w:rsidR="00571CEF">
        <w:t>podobě</w:t>
      </w:r>
      <w:r>
        <w:t xml:space="preserve"> </w:t>
      </w:r>
      <w:r w:rsidR="00571CEF">
        <w:t xml:space="preserve"> „</w:t>
      </w:r>
      <w:proofErr w:type="gramEnd"/>
      <w:r w:rsidR="00571CEF">
        <w:t>výstavby místní komunikace“ a „výstavby</w:t>
      </w:r>
      <w:r>
        <w:t xml:space="preserve"> veřejného osvětlení a roz</w:t>
      </w:r>
      <w:r w:rsidR="00571CEF">
        <w:t>hlasu“, jak jsme uváděli ve svých předchozích</w:t>
      </w:r>
      <w:r>
        <w:t xml:space="preserve"> dopis</w:t>
      </w:r>
      <w:r w:rsidR="00571CEF">
        <w:t>ech</w:t>
      </w:r>
      <w:r>
        <w:t>.</w:t>
      </w:r>
      <w:r w:rsidR="003E1FF9">
        <w:t xml:space="preserve"> </w:t>
      </w:r>
    </w:p>
    <w:p w14:paraId="5AB8AE1E" w14:textId="422BFBE9" w:rsidR="005107FB" w:rsidRDefault="005107FB" w:rsidP="005107FB">
      <w:pPr>
        <w:spacing w:before="120"/>
        <w:ind w:left="66" w:firstLine="360"/>
        <w:jc w:val="both"/>
      </w:pPr>
      <w:r>
        <w:t>Předem moc děkujeme. V případě potřeby jsme připraveni podat nějaká bližší vysvětlení, pokud by byla nutná k zodpovězení našeho dotazu.</w:t>
      </w:r>
    </w:p>
    <w:p w14:paraId="1E14BC7B" w14:textId="77777777" w:rsidR="005107FB" w:rsidRDefault="005107FB" w:rsidP="005107FB">
      <w:pPr>
        <w:spacing w:before="120"/>
        <w:ind w:left="66" w:firstLine="360"/>
        <w:jc w:val="both"/>
      </w:pPr>
    </w:p>
    <w:p w14:paraId="513C80BF" w14:textId="745269C3" w:rsidR="00560971" w:rsidRDefault="003E1FF9" w:rsidP="008131D5">
      <w:pPr>
        <w:spacing w:before="120"/>
        <w:ind w:left="66"/>
        <w:jc w:val="both"/>
      </w:pPr>
      <w:r>
        <w:t xml:space="preserve">  </w:t>
      </w:r>
    </w:p>
    <w:p w14:paraId="007F579F" w14:textId="77777777" w:rsidR="00211CD6" w:rsidRDefault="00211CD6" w:rsidP="00084F4D">
      <w:pPr>
        <w:spacing w:before="120"/>
        <w:jc w:val="both"/>
      </w:pPr>
    </w:p>
    <w:p w14:paraId="6E2CD0C2" w14:textId="0D4A61C7" w:rsidR="00F02971" w:rsidRPr="00DE77C5" w:rsidRDefault="00211CD6" w:rsidP="00211CD6">
      <w:pPr>
        <w:spacing w:before="120"/>
        <w:jc w:val="both"/>
      </w:pPr>
      <w:r>
        <w:t xml:space="preserve"> </w:t>
      </w:r>
    </w:p>
    <w:p w14:paraId="5AAB1FB4" w14:textId="77777777" w:rsidR="00185753" w:rsidRPr="0083488D" w:rsidRDefault="00185753" w:rsidP="0043492D">
      <w:pPr>
        <w:spacing w:before="120"/>
        <w:ind w:left="567" w:hanging="567"/>
        <w:jc w:val="both"/>
        <w:rPr>
          <w:b/>
        </w:rPr>
      </w:pPr>
    </w:p>
    <w:p w14:paraId="00932695" w14:textId="77777777" w:rsidR="006478F9" w:rsidRDefault="006478F9" w:rsidP="006478F9">
      <w:pPr>
        <w:spacing w:before="120" w:after="120"/>
        <w:jc w:val="both"/>
        <w:rPr>
          <w:szCs w:val="24"/>
        </w:rPr>
      </w:pPr>
    </w:p>
    <w:sectPr w:rsidR="006478F9" w:rsidSect="00AD20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DA784" w14:textId="77777777" w:rsidR="00E22372" w:rsidRDefault="00E22372">
      <w:r>
        <w:separator/>
      </w:r>
    </w:p>
  </w:endnote>
  <w:endnote w:type="continuationSeparator" w:id="0">
    <w:p w14:paraId="271370A4" w14:textId="77777777" w:rsidR="00E22372" w:rsidRDefault="00E2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98243" w14:textId="77777777" w:rsidR="009117B2" w:rsidRDefault="009117B2">
    <w:pPr>
      <w:pStyle w:val="Zpat"/>
      <w:framePr w:wrap="around" w:vAnchor="text" w:hAnchor="margin" w:xAlign="center" w:y="1"/>
      <w:rPr>
        <w:rStyle w:val="slostrnky"/>
      </w:rPr>
    </w:pPr>
  </w:p>
  <w:p w14:paraId="5F170B85" w14:textId="77777777" w:rsidR="009117B2" w:rsidRPr="00195F24" w:rsidRDefault="009117B2" w:rsidP="002F4EE3">
    <w:pPr>
      <w:pStyle w:val="Zpat"/>
      <w:rPr>
        <w:sz w:val="16"/>
        <w:u w:val="single"/>
        <w:vertAlign w:val="superscript"/>
      </w:rPr>
    </w:pPr>
    <w:r w:rsidRPr="00195F24">
      <w:rPr>
        <w:sz w:val="16"/>
        <w:u w:val="single"/>
        <w:vertAlign w:val="superscript"/>
      </w:rPr>
      <w:t>______________________________________________________________________________________________________________________________________________________</w:t>
    </w:r>
    <w:r>
      <w:rPr>
        <w:sz w:val="16"/>
        <w:u w:val="single"/>
        <w:vertAlign w:val="superscript"/>
      </w:rPr>
      <w:t>_</w:t>
    </w:r>
    <w:r w:rsidRPr="00195F24">
      <w:rPr>
        <w:sz w:val="16"/>
        <w:u w:val="single"/>
        <w:vertAlign w:val="superscript"/>
      </w:rPr>
      <w:t>______________________________</w:t>
    </w:r>
  </w:p>
  <w:p w14:paraId="1221DC97" w14:textId="77777777" w:rsidR="009117B2" w:rsidRDefault="009117B2" w:rsidP="002F4EE3">
    <w:pPr>
      <w:pStyle w:val="Zpat"/>
      <w:rPr>
        <w:sz w:val="16"/>
      </w:rPr>
    </w:pPr>
    <w:smartTag w:uri="urn:schemas-microsoft-com:office:smarttags" w:element="date">
      <w:smartTagPr>
        <w:attr w:name="Year" w:val="16"/>
        <w:attr w:name="Day" w:val="5"/>
        <w:attr w:name="Month" w:val="5"/>
        <w:attr w:name="ls" w:val="trans"/>
      </w:smartTagPr>
      <w:r>
        <w:rPr>
          <w:sz w:val="16"/>
        </w:rPr>
        <w:t>5. května 16</w:t>
      </w:r>
    </w:smartTag>
    <w:r>
      <w:rPr>
        <w:sz w:val="16"/>
      </w:rPr>
      <w:t xml:space="preserve">40/65                                                                     Tel.:  234709711                                        </w:t>
    </w:r>
    <w:r w:rsidR="00F463DF">
      <w:rPr>
        <w:sz w:val="16"/>
      </w:rPr>
      <w:t xml:space="preserve">  </w:t>
    </w:r>
    <w:r>
      <w:rPr>
        <w:sz w:val="16"/>
      </w:rPr>
      <w:t xml:space="preserve">    IČ: 63113074, DIČ: CZ63113074</w:t>
    </w:r>
  </w:p>
  <w:p w14:paraId="38183637" w14:textId="77777777" w:rsidR="009117B2" w:rsidRDefault="009117B2" w:rsidP="002F4EE3">
    <w:pPr>
      <w:pStyle w:val="Zpat"/>
      <w:rPr>
        <w:sz w:val="16"/>
      </w:rPr>
    </w:pPr>
    <w:r>
      <w:rPr>
        <w:sz w:val="16"/>
      </w:rPr>
      <w:t xml:space="preserve">140 </w:t>
    </w:r>
    <w:r w:rsidR="00F463DF">
      <w:rPr>
        <w:sz w:val="16"/>
      </w:rPr>
      <w:t>00</w:t>
    </w:r>
    <w:r>
      <w:rPr>
        <w:sz w:val="16"/>
      </w:rPr>
      <w:t xml:space="preserve">  Praha 4                                                                         Fax:  234709786                                                </w:t>
    </w:r>
    <w:proofErr w:type="spellStart"/>
    <w:r>
      <w:rPr>
        <w:sz w:val="16"/>
      </w:rPr>
      <w:t>Bank.spoj</w:t>
    </w:r>
    <w:proofErr w:type="spellEnd"/>
    <w:r>
      <w:rPr>
        <w:sz w:val="16"/>
      </w:rPr>
      <w:t>.: Komerční banka, a.s.</w:t>
    </w:r>
  </w:p>
  <w:p w14:paraId="13E4C003" w14:textId="77777777" w:rsidR="009117B2" w:rsidRDefault="009117B2" w:rsidP="002F4EE3">
    <w:pPr>
      <w:pStyle w:val="Zpat"/>
      <w:rPr>
        <w:sz w:val="16"/>
      </w:rPr>
    </w:pPr>
    <w:r>
      <w:rPr>
        <w:sz w:val="16"/>
      </w:rPr>
      <w:t xml:space="preserve">Česká republika                                                                        e-mail: smocr@smocr.cz                                              </w:t>
    </w:r>
    <w:proofErr w:type="spellStart"/>
    <w:r>
      <w:rPr>
        <w:sz w:val="16"/>
      </w:rPr>
      <w:t>č.ú</w:t>
    </w:r>
    <w:proofErr w:type="spellEnd"/>
    <w:r>
      <w:rPr>
        <w:sz w:val="16"/>
      </w:rPr>
      <w:t xml:space="preserve">.: 19-9221540247/0100                                                 </w:t>
    </w:r>
    <w:r>
      <w:rPr>
        <w:sz w:val="16"/>
      </w:rPr>
      <w:tab/>
      <w:t xml:space="preserve"> htt://www.smocr.cz                                                 </w:t>
    </w:r>
  </w:p>
  <w:p w14:paraId="49A6F95F" w14:textId="77777777" w:rsidR="009117B2" w:rsidRDefault="009117B2" w:rsidP="002F4EE3">
    <w:pPr>
      <w:pStyle w:val="Zpat"/>
      <w:rPr>
        <w:sz w:val="16"/>
      </w:rPr>
    </w:pPr>
  </w:p>
  <w:p w14:paraId="25B999E4" w14:textId="77777777" w:rsidR="009117B2" w:rsidRDefault="009117B2">
    <w:pPr>
      <w:pStyle w:val="Zpat"/>
      <w:rPr>
        <w:sz w:val="16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C8FA1" w14:textId="77777777" w:rsidR="00E22372" w:rsidRDefault="00E22372">
      <w:r>
        <w:separator/>
      </w:r>
    </w:p>
  </w:footnote>
  <w:footnote w:type="continuationSeparator" w:id="0">
    <w:p w14:paraId="135E79E4" w14:textId="77777777" w:rsidR="00E22372" w:rsidRDefault="00E2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40E" w14:textId="77777777" w:rsidR="009117B2" w:rsidRDefault="009117B2" w:rsidP="002F4EE3">
    <w:pPr>
      <w:pStyle w:val="Zhlav"/>
    </w:pPr>
    <w:r>
      <w:tab/>
    </w:r>
    <w:r>
      <w:tab/>
    </w:r>
    <w:r w:rsidR="00047640">
      <w:rPr>
        <w:noProof/>
      </w:rPr>
      <w:drawing>
        <wp:inline distT="0" distB="0" distL="0" distR="0" wp14:anchorId="1AAE0BB2" wp14:editId="22037EC3">
          <wp:extent cx="1019175" cy="66675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D55D71" w14:textId="77777777" w:rsidR="009117B2" w:rsidRDefault="009117B2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791C"/>
    <w:multiLevelType w:val="hybridMultilevel"/>
    <w:tmpl w:val="7040E326"/>
    <w:lvl w:ilvl="0" w:tplc="80CC9D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ED2DC3"/>
    <w:multiLevelType w:val="hybridMultilevel"/>
    <w:tmpl w:val="8D52222A"/>
    <w:lvl w:ilvl="0" w:tplc="502653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0819"/>
    <w:multiLevelType w:val="hybridMultilevel"/>
    <w:tmpl w:val="D2545A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B120A"/>
    <w:multiLevelType w:val="hybridMultilevel"/>
    <w:tmpl w:val="157A5FA6"/>
    <w:lvl w:ilvl="0" w:tplc="5BDEB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C21CE8"/>
    <w:multiLevelType w:val="hybridMultilevel"/>
    <w:tmpl w:val="6204BE1A"/>
    <w:lvl w:ilvl="0" w:tplc="D7E2A2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6C850ED"/>
    <w:multiLevelType w:val="hybridMultilevel"/>
    <w:tmpl w:val="947E35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373CB"/>
    <w:multiLevelType w:val="hybridMultilevel"/>
    <w:tmpl w:val="F50A35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B1D26"/>
    <w:multiLevelType w:val="hybridMultilevel"/>
    <w:tmpl w:val="EE327D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E60FF"/>
    <w:multiLevelType w:val="hybridMultilevel"/>
    <w:tmpl w:val="E3BA0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13548"/>
    <w:multiLevelType w:val="hybridMultilevel"/>
    <w:tmpl w:val="D980840A"/>
    <w:lvl w:ilvl="0" w:tplc="D7E2A2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919E2"/>
    <w:multiLevelType w:val="hybridMultilevel"/>
    <w:tmpl w:val="D508372A"/>
    <w:lvl w:ilvl="0" w:tplc="7F766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B80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8A9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E1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AD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CC8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2B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6F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DCA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10C3E"/>
    <w:multiLevelType w:val="hybridMultilevel"/>
    <w:tmpl w:val="57A23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028B7"/>
    <w:multiLevelType w:val="hybridMultilevel"/>
    <w:tmpl w:val="7AB046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B616D"/>
    <w:multiLevelType w:val="hybridMultilevel"/>
    <w:tmpl w:val="AE6E58D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9AD4839"/>
    <w:multiLevelType w:val="hybridMultilevel"/>
    <w:tmpl w:val="EF0C596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1CBC0203"/>
    <w:multiLevelType w:val="hybridMultilevel"/>
    <w:tmpl w:val="1640E72E"/>
    <w:lvl w:ilvl="0" w:tplc="DC0448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347102C"/>
    <w:multiLevelType w:val="hybridMultilevel"/>
    <w:tmpl w:val="C810BFE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73E9F"/>
    <w:multiLevelType w:val="hybridMultilevel"/>
    <w:tmpl w:val="2EF0FEA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2E813923"/>
    <w:multiLevelType w:val="hybridMultilevel"/>
    <w:tmpl w:val="EA32FD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D10C8"/>
    <w:multiLevelType w:val="hybridMultilevel"/>
    <w:tmpl w:val="32122520"/>
    <w:lvl w:ilvl="0" w:tplc="DE08761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2963B0E"/>
    <w:multiLevelType w:val="hybridMultilevel"/>
    <w:tmpl w:val="5B8C5D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A19A3"/>
    <w:multiLevelType w:val="hybridMultilevel"/>
    <w:tmpl w:val="91B07978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45C90"/>
    <w:multiLevelType w:val="hybridMultilevel"/>
    <w:tmpl w:val="8E3613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1601E4"/>
    <w:multiLevelType w:val="hybridMultilevel"/>
    <w:tmpl w:val="E0DCD572"/>
    <w:lvl w:ilvl="0" w:tplc="8FD0A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E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A3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87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23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E7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365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29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43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4004A5"/>
    <w:multiLevelType w:val="hybridMultilevel"/>
    <w:tmpl w:val="93DC00DC"/>
    <w:lvl w:ilvl="0" w:tplc="7732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37E14"/>
    <w:multiLevelType w:val="hybridMultilevel"/>
    <w:tmpl w:val="55C61A34"/>
    <w:lvl w:ilvl="0" w:tplc="34563F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EC37C7"/>
    <w:multiLevelType w:val="hybridMultilevel"/>
    <w:tmpl w:val="22789642"/>
    <w:lvl w:ilvl="0" w:tplc="9B3E42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99072D"/>
    <w:multiLevelType w:val="hybridMultilevel"/>
    <w:tmpl w:val="7D22E1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24C53"/>
    <w:multiLevelType w:val="hybridMultilevel"/>
    <w:tmpl w:val="0AC8F08C"/>
    <w:lvl w:ilvl="0" w:tplc="B14AF2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C6901"/>
    <w:multiLevelType w:val="hybridMultilevel"/>
    <w:tmpl w:val="115C61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C07D2"/>
    <w:multiLevelType w:val="hybridMultilevel"/>
    <w:tmpl w:val="4A029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93DC1"/>
    <w:multiLevelType w:val="hybridMultilevel"/>
    <w:tmpl w:val="5984A0EA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250A3"/>
    <w:multiLevelType w:val="hybridMultilevel"/>
    <w:tmpl w:val="7EBA44A8"/>
    <w:lvl w:ilvl="0" w:tplc="ECFCF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951D6E"/>
    <w:multiLevelType w:val="hybridMultilevel"/>
    <w:tmpl w:val="71CC0F8A"/>
    <w:lvl w:ilvl="0" w:tplc="9ACE6E3C"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4" w15:restartNumberingAfterBreak="0">
    <w:nsid w:val="75230D62"/>
    <w:multiLevelType w:val="hybridMultilevel"/>
    <w:tmpl w:val="301879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13EC0"/>
    <w:multiLevelType w:val="hybridMultilevel"/>
    <w:tmpl w:val="D8E2E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F47B6"/>
    <w:multiLevelType w:val="hybridMultilevel"/>
    <w:tmpl w:val="A84C0D0E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5"/>
  </w:num>
  <w:num w:numId="4">
    <w:abstractNumId w:val="36"/>
  </w:num>
  <w:num w:numId="5">
    <w:abstractNumId w:val="17"/>
  </w:num>
  <w:num w:numId="6">
    <w:abstractNumId w:val="14"/>
  </w:num>
  <w:num w:numId="7">
    <w:abstractNumId w:val="32"/>
  </w:num>
  <w:num w:numId="8">
    <w:abstractNumId w:val="35"/>
  </w:num>
  <w:num w:numId="9">
    <w:abstractNumId w:val="9"/>
  </w:num>
  <w:num w:numId="10">
    <w:abstractNumId w:val="24"/>
  </w:num>
  <w:num w:numId="11">
    <w:abstractNumId w:val="1"/>
  </w:num>
  <w:num w:numId="12">
    <w:abstractNumId w:val="20"/>
  </w:num>
  <w:num w:numId="13">
    <w:abstractNumId w:val="26"/>
  </w:num>
  <w:num w:numId="14">
    <w:abstractNumId w:val="21"/>
  </w:num>
  <w:num w:numId="15">
    <w:abstractNumId w:val="22"/>
  </w:num>
  <w:num w:numId="16">
    <w:abstractNumId w:val="3"/>
  </w:num>
  <w:num w:numId="17">
    <w:abstractNumId w:val="11"/>
  </w:num>
  <w:num w:numId="18">
    <w:abstractNumId w:val="7"/>
  </w:num>
  <w:num w:numId="19">
    <w:abstractNumId w:val="8"/>
  </w:num>
  <w:num w:numId="20">
    <w:abstractNumId w:val="33"/>
  </w:num>
  <w:num w:numId="21">
    <w:abstractNumId w:val="2"/>
  </w:num>
  <w:num w:numId="22">
    <w:abstractNumId w:val="19"/>
  </w:num>
  <w:num w:numId="23">
    <w:abstractNumId w:val="29"/>
  </w:num>
  <w:num w:numId="24">
    <w:abstractNumId w:val="18"/>
  </w:num>
  <w:num w:numId="25">
    <w:abstractNumId w:val="31"/>
  </w:num>
  <w:num w:numId="26">
    <w:abstractNumId w:val="6"/>
  </w:num>
  <w:num w:numId="27">
    <w:abstractNumId w:val="12"/>
  </w:num>
  <w:num w:numId="28">
    <w:abstractNumId w:val="28"/>
  </w:num>
  <w:num w:numId="29">
    <w:abstractNumId w:val="16"/>
  </w:num>
  <w:num w:numId="30">
    <w:abstractNumId w:val="5"/>
  </w:num>
  <w:num w:numId="31">
    <w:abstractNumId w:val="34"/>
  </w:num>
  <w:num w:numId="32">
    <w:abstractNumId w:val="30"/>
  </w:num>
  <w:num w:numId="33">
    <w:abstractNumId w:val="27"/>
  </w:num>
  <w:num w:numId="34">
    <w:abstractNumId w:val="4"/>
  </w:num>
  <w:num w:numId="35">
    <w:abstractNumId w:val="0"/>
  </w:num>
  <w:num w:numId="36">
    <w:abstractNumId w:val="13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62"/>
    <w:rsid w:val="0001378F"/>
    <w:rsid w:val="000266B9"/>
    <w:rsid w:val="00040D64"/>
    <w:rsid w:val="00046702"/>
    <w:rsid w:val="00047640"/>
    <w:rsid w:val="000507BE"/>
    <w:rsid w:val="000535B1"/>
    <w:rsid w:val="00072A6B"/>
    <w:rsid w:val="00077E80"/>
    <w:rsid w:val="00084F4D"/>
    <w:rsid w:val="00087058"/>
    <w:rsid w:val="00090745"/>
    <w:rsid w:val="00095BB6"/>
    <w:rsid w:val="000A2413"/>
    <w:rsid w:val="000B1EA7"/>
    <w:rsid w:val="000B2624"/>
    <w:rsid w:val="000B76DE"/>
    <w:rsid w:val="000C6139"/>
    <w:rsid w:val="000C627D"/>
    <w:rsid w:val="000C67C4"/>
    <w:rsid w:val="000D5C5D"/>
    <w:rsid w:val="000E0954"/>
    <w:rsid w:val="000E0A70"/>
    <w:rsid w:val="000F32CC"/>
    <w:rsid w:val="0010649A"/>
    <w:rsid w:val="001170E0"/>
    <w:rsid w:val="001202CD"/>
    <w:rsid w:val="0013648C"/>
    <w:rsid w:val="00145F49"/>
    <w:rsid w:val="001544C9"/>
    <w:rsid w:val="00157537"/>
    <w:rsid w:val="00177992"/>
    <w:rsid w:val="00182C12"/>
    <w:rsid w:val="00182F48"/>
    <w:rsid w:val="00185753"/>
    <w:rsid w:val="00191075"/>
    <w:rsid w:val="001927E1"/>
    <w:rsid w:val="00192F5E"/>
    <w:rsid w:val="001947CD"/>
    <w:rsid w:val="00195F24"/>
    <w:rsid w:val="001A583E"/>
    <w:rsid w:val="001A76E8"/>
    <w:rsid w:val="001B0A09"/>
    <w:rsid w:val="001B4966"/>
    <w:rsid w:val="001C1E05"/>
    <w:rsid w:val="001E5CB3"/>
    <w:rsid w:val="00201C18"/>
    <w:rsid w:val="00211C08"/>
    <w:rsid w:val="00211CD6"/>
    <w:rsid w:val="002127EE"/>
    <w:rsid w:val="002224B5"/>
    <w:rsid w:val="0023244A"/>
    <w:rsid w:val="00234B2C"/>
    <w:rsid w:val="00254F88"/>
    <w:rsid w:val="002560FE"/>
    <w:rsid w:val="002572CC"/>
    <w:rsid w:val="0026064A"/>
    <w:rsid w:val="00260A76"/>
    <w:rsid w:val="00261645"/>
    <w:rsid w:val="00286372"/>
    <w:rsid w:val="0029077F"/>
    <w:rsid w:val="002A2C79"/>
    <w:rsid w:val="002A6881"/>
    <w:rsid w:val="002C0CE7"/>
    <w:rsid w:val="002C1107"/>
    <w:rsid w:val="002C4723"/>
    <w:rsid w:val="002E11AC"/>
    <w:rsid w:val="002F4EE3"/>
    <w:rsid w:val="00302D9B"/>
    <w:rsid w:val="00303E7B"/>
    <w:rsid w:val="00305016"/>
    <w:rsid w:val="00314E22"/>
    <w:rsid w:val="00316C0D"/>
    <w:rsid w:val="00337430"/>
    <w:rsid w:val="00346B6B"/>
    <w:rsid w:val="00347736"/>
    <w:rsid w:val="00347A59"/>
    <w:rsid w:val="00351E95"/>
    <w:rsid w:val="00362256"/>
    <w:rsid w:val="00367F62"/>
    <w:rsid w:val="00367FA7"/>
    <w:rsid w:val="003724EF"/>
    <w:rsid w:val="00372E0B"/>
    <w:rsid w:val="00375734"/>
    <w:rsid w:val="00376081"/>
    <w:rsid w:val="00376ACA"/>
    <w:rsid w:val="00387FA9"/>
    <w:rsid w:val="00390275"/>
    <w:rsid w:val="00396567"/>
    <w:rsid w:val="00396D9E"/>
    <w:rsid w:val="003A29AC"/>
    <w:rsid w:val="003B6124"/>
    <w:rsid w:val="003C39D0"/>
    <w:rsid w:val="003C3ED3"/>
    <w:rsid w:val="003C4715"/>
    <w:rsid w:val="003E1FF9"/>
    <w:rsid w:val="003E289F"/>
    <w:rsid w:val="003F7CE3"/>
    <w:rsid w:val="003F7F93"/>
    <w:rsid w:val="00410549"/>
    <w:rsid w:val="00422D77"/>
    <w:rsid w:val="00425876"/>
    <w:rsid w:val="00431953"/>
    <w:rsid w:val="0043382F"/>
    <w:rsid w:val="00433937"/>
    <w:rsid w:val="0043492D"/>
    <w:rsid w:val="00446AFD"/>
    <w:rsid w:val="004519D7"/>
    <w:rsid w:val="00451C1C"/>
    <w:rsid w:val="00452901"/>
    <w:rsid w:val="004537E8"/>
    <w:rsid w:val="004609A2"/>
    <w:rsid w:val="0046629C"/>
    <w:rsid w:val="00472B57"/>
    <w:rsid w:val="00476C34"/>
    <w:rsid w:val="004837F4"/>
    <w:rsid w:val="004868F8"/>
    <w:rsid w:val="0049002A"/>
    <w:rsid w:val="0049632B"/>
    <w:rsid w:val="00496387"/>
    <w:rsid w:val="00496395"/>
    <w:rsid w:val="004A5B98"/>
    <w:rsid w:val="004A78AA"/>
    <w:rsid w:val="004B325E"/>
    <w:rsid w:val="004B44D5"/>
    <w:rsid w:val="004B70E6"/>
    <w:rsid w:val="004C3597"/>
    <w:rsid w:val="004D17CC"/>
    <w:rsid w:val="004E2773"/>
    <w:rsid w:val="004F1DF6"/>
    <w:rsid w:val="004F5F48"/>
    <w:rsid w:val="00506CE2"/>
    <w:rsid w:val="005107FB"/>
    <w:rsid w:val="005117F7"/>
    <w:rsid w:val="00511C7C"/>
    <w:rsid w:val="005141AA"/>
    <w:rsid w:val="00516683"/>
    <w:rsid w:val="00521519"/>
    <w:rsid w:val="005242C8"/>
    <w:rsid w:val="0053266C"/>
    <w:rsid w:val="00535BBB"/>
    <w:rsid w:val="0054269F"/>
    <w:rsid w:val="005446D2"/>
    <w:rsid w:val="00552046"/>
    <w:rsid w:val="00553326"/>
    <w:rsid w:val="00554EF5"/>
    <w:rsid w:val="00560971"/>
    <w:rsid w:val="00564A8E"/>
    <w:rsid w:val="00571CEF"/>
    <w:rsid w:val="00577B91"/>
    <w:rsid w:val="00582D55"/>
    <w:rsid w:val="00586D35"/>
    <w:rsid w:val="00590BA3"/>
    <w:rsid w:val="00593318"/>
    <w:rsid w:val="00597DEC"/>
    <w:rsid w:val="005A3541"/>
    <w:rsid w:val="005A36A0"/>
    <w:rsid w:val="005A5618"/>
    <w:rsid w:val="005B00C2"/>
    <w:rsid w:val="005B4C54"/>
    <w:rsid w:val="005B7A09"/>
    <w:rsid w:val="005C1BF9"/>
    <w:rsid w:val="005C2229"/>
    <w:rsid w:val="005C5DE2"/>
    <w:rsid w:val="005C6DC0"/>
    <w:rsid w:val="005D4D1F"/>
    <w:rsid w:val="005E1F1D"/>
    <w:rsid w:val="005E2276"/>
    <w:rsid w:val="005E2B70"/>
    <w:rsid w:val="005F30A0"/>
    <w:rsid w:val="00602FED"/>
    <w:rsid w:val="0060593F"/>
    <w:rsid w:val="0060625E"/>
    <w:rsid w:val="006108FD"/>
    <w:rsid w:val="006137D9"/>
    <w:rsid w:val="00614E7F"/>
    <w:rsid w:val="00620A5C"/>
    <w:rsid w:val="00624E6A"/>
    <w:rsid w:val="0062684D"/>
    <w:rsid w:val="00633898"/>
    <w:rsid w:val="00642874"/>
    <w:rsid w:val="00643CC4"/>
    <w:rsid w:val="006478F9"/>
    <w:rsid w:val="006677FC"/>
    <w:rsid w:val="00667DDC"/>
    <w:rsid w:val="0067025F"/>
    <w:rsid w:val="00674EFC"/>
    <w:rsid w:val="00675B6F"/>
    <w:rsid w:val="006839C6"/>
    <w:rsid w:val="00694E56"/>
    <w:rsid w:val="006B38E2"/>
    <w:rsid w:val="006C4C59"/>
    <w:rsid w:val="006E0693"/>
    <w:rsid w:val="006E1C7A"/>
    <w:rsid w:val="006E1FC8"/>
    <w:rsid w:val="006E2CFD"/>
    <w:rsid w:val="006E68B1"/>
    <w:rsid w:val="006E6AC3"/>
    <w:rsid w:val="006F3E33"/>
    <w:rsid w:val="006F4630"/>
    <w:rsid w:val="006F5BA7"/>
    <w:rsid w:val="00704712"/>
    <w:rsid w:val="00713411"/>
    <w:rsid w:val="007161DD"/>
    <w:rsid w:val="007270CD"/>
    <w:rsid w:val="00747C3C"/>
    <w:rsid w:val="0075219D"/>
    <w:rsid w:val="00761A30"/>
    <w:rsid w:val="007643B4"/>
    <w:rsid w:val="00764769"/>
    <w:rsid w:val="00777C9B"/>
    <w:rsid w:val="0078480B"/>
    <w:rsid w:val="00786689"/>
    <w:rsid w:val="007907AD"/>
    <w:rsid w:val="00796639"/>
    <w:rsid w:val="007A1FE2"/>
    <w:rsid w:val="007A77E5"/>
    <w:rsid w:val="007B0A03"/>
    <w:rsid w:val="007B0C29"/>
    <w:rsid w:val="007B15A0"/>
    <w:rsid w:val="007B33EC"/>
    <w:rsid w:val="007C0455"/>
    <w:rsid w:val="007C2098"/>
    <w:rsid w:val="007C22CE"/>
    <w:rsid w:val="007C2CC4"/>
    <w:rsid w:val="007D207E"/>
    <w:rsid w:val="007D6BE9"/>
    <w:rsid w:val="007E4450"/>
    <w:rsid w:val="007E4A97"/>
    <w:rsid w:val="007F611F"/>
    <w:rsid w:val="008031E4"/>
    <w:rsid w:val="008131D5"/>
    <w:rsid w:val="008135A9"/>
    <w:rsid w:val="00813E69"/>
    <w:rsid w:val="008257DD"/>
    <w:rsid w:val="0082622A"/>
    <w:rsid w:val="0083488D"/>
    <w:rsid w:val="00872C47"/>
    <w:rsid w:val="0088798B"/>
    <w:rsid w:val="00887F7D"/>
    <w:rsid w:val="008A26CA"/>
    <w:rsid w:val="008A4C35"/>
    <w:rsid w:val="008A6294"/>
    <w:rsid w:val="008A7C53"/>
    <w:rsid w:val="008B3896"/>
    <w:rsid w:val="008B4725"/>
    <w:rsid w:val="008B4F20"/>
    <w:rsid w:val="008C7023"/>
    <w:rsid w:val="008D1A73"/>
    <w:rsid w:val="008D4C5E"/>
    <w:rsid w:val="008D7317"/>
    <w:rsid w:val="008F5D4B"/>
    <w:rsid w:val="009117B2"/>
    <w:rsid w:val="00914688"/>
    <w:rsid w:val="00932D88"/>
    <w:rsid w:val="009339C9"/>
    <w:rsid w:val="00953167"/>
    <w:rsid w:val="00953673"/>
    <w:rsid w:val="009564C1"/>
    <w:rsid w:val="00974C6D"/>
    <w:rsid w:val="009771D6"/>
    <w:rsid w:val="00983CE6"/>
    <w:rsid w:val="009A45C4"/>
    <w:rsid w:val="009A6405"/>
    <w:rsid w:val="009C0775"/>
    <w:rsid w:val="009D3D21"/>
    <w:rsid w:val="009E17F6"/>
    <w:rsid w:val="009F32CB"/>
    <w:rsid w:val="009F77DA"/>
    <w:rsid w:val="00A064EF"/>
    <w:rsid w:val="00A07D9B"/>
    <w:rsid w:val="00A1559A"/>
    <w:rsid w:val="00A33CB6"/>
    <w:rsid w:val="00A71DDC"/>
    <w:rsid w:val="00A808BA"/>
    <w:rsid w:val="00A87F40"/>
    <w:rsid w:val="00A97050"/>
    <w:rsid w:val="00AB2BEB"/>
    <w:rsid w:val="00AB5C31"/>
    <w:rsid w:val="00AC278D"/>
    <w:rsid w:val="00AC6D6B"/>
    <w:rsid w:val="00AD1632"/>
    <w:rsid w:val="00AD1705"/>
    <w:rsid w:val="00AD2013"/>
    <w:rsid w:val="00AD25BD"/>
    <w:rsid w:val="00AE652E"/>
    <w:rsid w:val="00AF1147"/>
    <w:rsid w:val="00AF487E"/>
    <w:rsid w:val="00AF4AE4"/>
    <w:rsid w:val="00B0181C"/>
    <w:rsid w:val="00B123D3"/>
    <w:rsid w:val="00B26BE6"/>
    <w:rsid w:val="00B3399A"/>
    <w:rsid w:val="00B41A48"/>
    <w:rsid w:val="00B436F2"/>
    <w:rsid w:val="00B4779E"/>
    <w:rsid w:val="00B77898"/>
    <w:rsid w:val="00B80026"/>
    <w:rsid w:val="00B83B2A"/>
    <w:rsid w:val="00B9020D"/>
    <w:rsid w:val="00BA778E"/>
    <w:rsid w:val="00BB0661"/>
    <w:rsid w:val="00BB5B6B"/>
    <w:rsid w:val="00BC29D2"/>
    <w:rsid w:val="00C01924"/>
    <w:rsid w:val="00C02E7B"/>
    <w:rsid w:val="00C370B6"/>
    <w:rsid w:val="00C41B66"/>
    <w:rsid w:val="00C52749"/>
    <w:rsid w:val="00C57336"/>
    <w:rsid w:val="00C63ABC"/>
    <w:rsid w:val="00C765EC"/>
    <w:rsid w:val="00C8239A"/>
    <w:rsid w:val="00C85F92"/>
    <w:rsid w:val="00C96195"/>
    <w:rsid w:val="00CA1115"/>
    <w:rsid w:val="00CA291A"/>
    <w:rsid w:val="00CA6310"/>
    <w:rsid w:val="00CB7D27"/>
    <w:rsid w:val="00CC215A"/>
    <w:rsid w:val="00CD3ABD"/>
    <w:rsid w:val="00CD55D8"/>
    <w:rsid w:val="00CE0120"/>
    <w:rsid w:val="00CE4F18"/>
    <w:rsid w:val="00CE6CE7"/>
    <w:rsid w:val="00D074CF"/>
    <w:rsid w:val="00D1125B"/>
    <w:rsid w:val="00D12537"/>
    <w:rsid w:val="00D15A10"/>
    <w:rsid w:val="00D2634C"/>
    <w:rsid w:val="00D319A7"/>
    <w:rsid w:val="00D40694"/>
    <w:rsid w:val="00D42E81"/>
    <w:rsid w:val="00D6085F"/>
    <w:rsid w:val="00D71A5B"/>
    <w:rsid w:val="00D73F0F"/>
    <w:rsid w:val="00D75ED2"/>
    <w:rsid w:val="00D83D11"/>
    <w:rsid w:val="00D86CE2"/>
    <w:rsid w:val="00DA1742"/>
    <w:rsid w:val="00DA3115"/>
    <w:rsid w:val="00DB22C9"/>
    <w:rsid w:val="00DC232A"/>
    <w:rsid w:val="00DC4C5F"/>
    <w:rsid w:val="00DD7D1A"/>
    <w:rsid w:val="00DE77C5"/>
    <w:rsid w:val="00E07B58"/>
    <w:rsid w:val="00E206C2"/>
    <w:rsid w:val="00E22372"/>
    <w:rsid w:val="00E2274D"/>
    <w:rsid w:val="00E22BD3"/>
    <w:rsid w:val="00E33645"/>
    <w:rsid w:val="00E35AC4"/>
    <w:rsid w:val="00E35BA4"/>
    <w:rsid w:val="00E46A7A"/>
    <w:rsid w:val="00E54BBB"/>
    <w:rsid w:val="00E615AD"/>
    <w:rsid w:val="00E6487E"/>
    <w:rsid w:val="00E71037"/>
    <w:rsid w:val="00E75B0B"/>
    <w:rsid w:val="00E903FE"/>
    <w:rsid w:val="00EA521D"/>
    <w:rsid w:val="00EB1A76"/>
    <w:rsid w:val="00EB3731"/>
    <w:rsid w:val="00EC3B04"/>
    <w:rsid w:val="00EC5F09"/>
    <w:rsid w:val="00ED5CE2"/>
    <w:rsid w:val="00ED6B10"/>
    <w:rsid w:val="00EF1112"/>
    <w:rsid w:val="00EF6A89"/>
    <w:rsid w:val="00F02971"/>
    <w:rsid w:val="00F216F1"/>
    <w:rsid w:val="00F26170"/>
    <w:rsid w:val="00F27275"/>
    <w:rsid w:val="00F463DF"/>
    <w:rsid w:val="00F520F8"/>
    <w:rsid w:val="00F56123"/>
    <w:rsid w:val="00F601EC"/>
    <w:rsid w:val="00F624CE"/>
    <w:rsid w:val="00F63735"/>
    <w:rsid w:val="00F67245"/>
    <w:rsid w:val="00F6778B"/>
    <w:rsid w:val="00F73BDA"/>
    <w:rsid w:val="00F823BD"/>
    <w:rsid w:val="00F870E2"/>
    <w:rsid w:val="00F90733"/>
    <w:rsid w:val="00F9099F"/>
    <w:rsid w:val="00F974F1"/>
    <w:rsid w:val="00FC0F49"/>
    <w:rsid w:val="00FC12FE"/>
    <w:rsid w:val="00FC2193"/>
    <w:rsid w:val="00FC4444"/>
    <w:rsid w:val="00FD28A6"/>
    <w:rsid w:val="00FE13FD"/>
    <w:rsid w:val="00FE156D"/>
    <w:rsid w:val="00FF5069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40FBCB63"/>
  <w15:docId w15:val="{D20BD562-4BD0-47ED-816A-E0113401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styleId="Textbubliny">
    <w:name w:val="Balloon Text"/>
    <w:basedOn w:val="Normln"/>
    <w:semiHidden/>
    <w:rsid w:val="00C63AB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A6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88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68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8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881"/>
    <w:rPr>
      <w:b/>
      <w:bCs/>
    </w:rPr>
  </w:style>
  <w:style w:type="character" w:customStyle="1" w:styleId="ZkladntextodsazenChar">
    <w:name w:val="Základní text odsazený Char"/>
    <w:link w:val="Zkladntextodsazen"/>
    <w:rsid w:val="00145F49"/>
    <w:rPr>
      <w:sz w:val="24"/>
    </w:rPr>
  </w:style>
  <w:style w:type="paragraph" w:styleId="Odstavecseseznamem">
    <w:name w:val="List Paragraph"/>
    <w:basedOn w:val="Normln"/>
    <w:uiPriority w:val="34"/>
    <w:qFormat/>
    <w:rsid w:val="00B0181C"/>
    <w:pPr>
      <w:ind w:left="720"/>
    </w:pPr>
    <w:rPr>
      <w:rFonts w:eastAsiaTheme="minorHAnsi"/>
      <w:szCs w:val="24"/>
    </w:rPr>
  </w:style>
  <w:style w:type="character" w:customStyle="1" w:styleId="DvodovzprvaChar">
    <w:name w:val="Důvodová zpráva Char"/>
    <w:basedOn w:val="Standardnpsmoodstavce"/>
    <w:link w:val="Dvodovzprva"/>
    <w:locked/>
    <w:rsid w:val="001170E0"/>
    <w:rPr>
      <w:rFonts w:ascii="Arial" w:hAnsi="Arial" w:cs="Arial"/>
      <w:color w:val="0000FF"/>
    </w:rPr>
  </w:style>
  <w:style w:type="paragraph" w:customStyle="1" w:styleId="Dvodovzprva">
    <w:name w:val="Důvodová zpráva"/>
    <w:basedOn w:val="Normln"/>
    <w:link w:val="DvodovzprvaChar"/>
    <w:rsid w:val="001170E0"/>
    <w:pPr>
      <w:keepNext/>
      <w:spacing w:before="120"/>
      <w:jc w:val="both"/>
    </w:pPr>
    <w:rPr>
      <w:rFonts w:ascii="Arial" w:hAnsi="Arial" w:cs="Arial"/>
      <w:color w:val="0000FF"/>
      <w:sz w:val="20"/>
    </w:rPr>
  </w:style>
  <w:style w:type="paragraph" w:customStyle="1" w:styleId="n00">
    <w:name w:val="n00"/>
    <w:basedOn w:val="Normln"/>
    <w:rsid w:val="004F1DF6"/>
    <w:pPr>
      <w:spacing w:before="120"/>
      <w:jc w:val="both"/>
    </w:pPr>
    <w:rPr>
      <w:sz w:val="26"/>
    </w:rPr>
  </w:style>
  <w:style w:type="character" w:customStyle="1" w:styleId="ZhlavChar">
    <w:name w:val="Záhlaví Char"/>
    <w:basedOn w:val="Standardnpsmoodstavce"/>
    <w:link w:val="Zhlav"/>
    <w:uiPriority w:val="99"/>
    <w:rsid w:val="005E2B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Microsoft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SMO</dc:creator>
  <cp:lastModifiedBy>Zdeněk Nejezchleb</cp:lastModifiedBy>
  <cp:revision>3</cp:revision>
  <cp:lastPrinted>2015-05-11T12:32:00Z</cp:lastPrinted>
  <dcterms:created xsi:type="dcterms:W3CDTF">2017-11-09T20:28:00Z</dcterms:created>
  <dcterms:modified xsi:type="dcterms:W3CDTF">2017-11-09T20:52:00Z</dcterms:modified>
</cp:coreProperties>
</file>