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6A" w:rsidRDefault="00E0096A" w:rsidP="00E0096A">
      <w:pPr>
        <w:pStyle w:val="Nadpis1"/>
        <w:spacing w:after="360" w:line="240" w:lineRule="auto"/>
        <w:rPr>
          <w:sz w:val="32"/>
        </w:rPr>
      </w:pPr>
      <w:bookmarkStart w:id="0" w:name="_Toc6875899"/>
      <w:r>
        <w:rPr>
          <w:sz w:val="32"/>
        </w:rPr>
        <w:t>Systém rozpočtové skladby (třída 8 – financování)</w:t>
      </w:r>
      <w:bookmarkEnd w:id="0"/>
      <w:r>
        <w:rPr>
          <w:sz w:val="32"/>
        </w:rPr>
        <w:t xml:space="preserve"> </w:t>
      </w:r>
    </w:p>
    <w:p w:rsidR="00E0096A" w:rsidRPr="00E0096A" w:rsidRDefault="00E0096A" w:rsidP="00E0096A">
      <w:pPr>
        <w:rPr>
          <w:b/>
          <w:i/>
        </w:rPr>
      </w:pPr>
      <w:r w:rsidRPr="00E0096A">
        <w:rPr>
          <w:b/>
          <w:i/>
        </w:rPr>
        <w:t xml:space="preserve">Zpracoval Ing. Martin </w:t>
      </w:r>
      <w:proofErr w:type="spellStart"/>
      <w:r w:rsidRPr="00E0096A">
        <w:rPr>
          <w:b/>
          <w:i/>
        </w:rPr>
        <w:t>Tocauer</w:t>
      </w:r>
      <w:proofErr w:type="spellEnd"/>
      <w:r w:rsidRPr="00E0096A">
        <w:rPr>
          <w:b/>
          <w:i/>
        </w:rPr>
        <w:t>, leden 2019</w:t>
      </w:r>
    </w:p>
    <w:p w:rsidR="00E0096A" w:rsidRPr="00AF26AF" w:rsidRDefault="00E0096A" w:rsidP="00E0096A">
      <w:pPr>
        <w:spacing w:line="240" w:lineRule="auto"/>
        <w:jc w:val="both"/>
        <w:rPr>
          <w:sz w:val="26"/>
          <w:szCs w:val="26"/>
        </w:rPr>
      </w:pPr>
      <w:r w:rsidRPr="00AF26AF">
        <w:rPr>
          <w:sz w:val="26"/>
          <w:szCs w:val="26"/>
        </w:rPr>
        <w:t xml:space="preserve">Systém rozpočtové skladby vychází z druhového třídění, které se jako jediné používá u všech peněžních operací tříděných rozpočtovou skladbou. Připomeňme si 7 tříd druhového třídění: </w:t>
      </w:r>
    </w:p>
    <w:p w:rsidR="00E0096A" w:rsidRPr="00AF26AF" w:rsidRDefault="00E0096A" w:rsidP="00E0096A">
      <w:pPr>
        <w:spacing w:after="0" w:line="240" w:lineRule="auto"/>
        <w:jc w:val="both"/>
        <w:rPr>
          <w:sz w:val="26"/>
          <w:szCs w:val="26"/>
        </w:rPr>
      </w:pPr>
      <w:r w:rsidRPr="00AF26AF">
        <w:rPr>
          <w:sz w:val="26"/>
          <w:szCs w:val="26"/>
        </w:rPr>
        <w:t xml:space="preserve">Třída 1 – daňové příjmy </w:t>
      </w:r>
    </w:p>
    <w:p w:rsidR="00E0096A" w:rsidRPr="00AF26AF" w:rsidRDefault="00E0096A" w:rsidP="00E0096A">
      <w:pPr>
        <w:spacing w:after="0" w:line="240" w:lineRule="auto"/>
        <w:jc w:val="both"/>
        <w:rPr>
          <w:sz w:val="26"/>
          <w:szCs w:val="26"/>
        </w:rPr>
      </w:pPr>
      <w:r w:rsidRPr="00AF26AF">
        <w:rPr>
          <w:sz w:val="26"/>
          <w:szCs w:val="26"/>
        </w:rPr>
        <w:t xml:space="preserve">Třída 2 – nedaňové příjmy </w:t>
      </w:r>
    </w:p>
    <w:p w:rsidR="00E0096A" w:rsidRPr="00AF26AF" w:rsidRDefault="00E0096A" w:rsidP="00E0096A">
      <w:pPr>
        <w:spacing w:after="0" w:line="240" w:lineRule="auto"/>
        <w:jc w:val="both"/>
        <w:rPr>
          <w:sz w:val="26"/>
          <w:szCs w:val="26"/>
        </w:rPr>
      </w:pPr>
      <w:r w:rsidRPr="00AF26AF">
        <w:rPr>
          <w:sz w:val="26"/>
          <w:szCs w:val="26"/>
        </w:rPr>
        <w:t xml:space="preserve">Třída 3 – kapitálové příjmy </w:t>
      </w:r>
    </w:p>
    <w:p w:rsidR="00E0096A" w:rsidRPr="00AF26AF" w:rsidRDefault="00E0096A" w:rsidP="00E0096A">
      <w:pPr>
        <w:spacing w:after="0" w:line="240" w:lineRule="auto"/>
        <w:jc w:val="both"/>
        <w:rPr>
          <w:sz w:val="26"/>
          <w:szCs w:val="26"/>
        </w:rPr>
      </w:pPr>
      <w:r w:rsidRPr="00AF26AF">
        <w:rPr>
          <w:sz w:val="26"/>
          <w:szCs w:val="26"/>
        </w:rPr>
        <w:t xml:space="preserve">Třída 4 – přijaté transfery </w:t>
      </w:r>
    </w:p>
    <w:p w:rsidR="00E0096A" w:rsidRPr="00AF26AF" w:rsidRDefault="00E0096A" w:rsidP="00E0096A">
      <w:pPr>
        <w:spacing w:after="0" w:line="240" w:lineRule="auto"/>
        <w:jc w:val="both"/>
        <w:rPr>
          <w:sz w:val="26"/>
          <w:szCs w:val="26"/>
        </w:rPr>
      </w:pPr>
      <w:r w:rsidRPr="00AF26AF">
        <w:rPr>
          <w:sz w:val="26"/>
          <w:szCs w:val="26"/>
        </w:rPr>
        <w:t xml:space="preserve">Třída 5 – běžné výdaje </w:t>
      </w:r>
    </w:p>
    <w:p w:rsidR="00E0096A" w:rsidRPr="00AF26AF" w:rsidRDefault="00E0096A" w:rsidP="00E0096A">
      <w:pPr>
        <w:spacing w:after="0" w:line="240" w:lineRule="auto"/>
        <w:jc w:val="both"/>
        <w:rPr>
          <w:sz w:val="26"/>
          <w:szCs w:val="26"/>
        </w:rPr>
      </w:pPr>
      <w:r w:rsidRPr="00AF26AF">
        <w:rPr>
          <w:sz w:val="26"/>
          <w:szCs w:val="26"/>
        </w:rPr>
        <w:t xml:space="preserve">Třída 6 – kapitálové výdaje </w:t>
      </w:r>
    </w:p>
    <w:p w:rsidR="00E0096A" w:rsidRDefault="00E0096A" w:rsidP="00E0096A">
      <w:pPr>
        <w:spacing w:line="240" w:lineRule="auto"/>
        <w:jc w:val="both"/>
        <w:rPr>
          <w:sz w:val="26"/>
          <w:szCs w:val="26"/>
        </w:rPr>
      </w:pPr>
      <w:r w:rsidRPr="00AF26AF">
        <w:rPr>
          <w:sz w:val="26"/>
          <w:szCs w:val="26"/>
        </w:rPr>
        <w:t xml:space="preserve">Třída 8 – financování </w:t>
      </w:r>
    </w:p>
    <w:p w:rsidR="00E0096A" w:rsidRDefault="00E0096A" w:rsidP="00E0096A">
      <w:pPr>
        <w:spacing w:after="120" w:line="240" w:lineRule="auto"/>
        <w:jc w:val="both"/>
        <w:rPr>
          <w:sz w:val="26"/>
          <w:szCs w:val="26"/>
        </w:rPr>
      </w:pPr>
      <w:r>
        <w:rPr>
          <w:sz w:val="26"/>
          <w:szCs w:val="26"/>
        </w:rPr>
        <w:t xml:space="preserve">Rozpočtová skladba se používá výhradně na těchto syntetických účtech: </w:t>
      </w:r>
    </w:p>
    <w:p w:rsidR="00E0096A" w:rsidRPr="001A4ACA" w:rsidRDefault="00E0096A" w:rsidP="00E0096A">
      <w:pPr>
        <w:spacing w:after="0" w:line="240" w:lineRule="auto"/>
        <w:rPr>
          <w:sz w:val="26"/>
          <w:szCs w:val="26"/>
        </w:rPr>
      </w:pPr>
      <w:r w:rsidRPr="001A4ACA">
        <w:rPr>
          <w:sz w:val="26"/>
          <w:szCs w:val="26"/>
        </w:rPr>
        <w:t>231 – Základní běžný účet ÚSC</w:t>
      </w:r>
    </w:p>
    <w:p w:rsidR="00E0096A" w:rsidRPr="001A4ACA" w:rsidRDefault="00E0096A" w:rsidP="00E0096A">
      <w:pPr>
        <w:spacing w:after="0" w:line="240" w:lineRule="auto"/>
        <w:rPr>
          <w:sz w:val="26"/>
          <w:szCs w:val="26"/>
        </w:rPr>
      </w:pPr>
      <w:r w:rsidRPr="001A4ACA">
        <w:rPr>
          <w:sz w:val="26"/>
          <w:szCs w:val="26"/>
        </w:rPr>
        <w:t>236 – Běžné účty fondů ÚSC</w:t>
      </w:r>
    </w:p>
    <w:p w:rsidR="00E0096A" w:rsidRPr="001A4ACA" w:rsidRDefault="00E0096A" w:rsidP="00E0096A">
      <w:pPr>
        <w:spacing w:after="0" w:line="240" w:lineRule="auto"/>
        <w:rPr>
          <w:sz w:val="26"/>
          <w:szCs w:val="26"/>
        </w:rPr>
      </w:pPr>
      <w:r w:rsidRPr="001A4ACA">
        <w:rPr>
          <w:sz w:val="26"/>
          <w:szCs w:val="26"/>
        </w:rPr>
        <w:t>261 – Pokladna (</w:t>
      </w:r>
      <w:r>
        <w:rPr>
          <w:sz w:val="26"/>
          <w:szCs w:val="26"/>
        </w:rPr>
        <w:t xml:space="preserve">pouze </w:t>
      </w:r>
      <w:r w:rsidRPr="001A4ACA">
        <w:rPr>
          <w:sz w:val="26"/>
          <w:szCs w:val="26"/>
        </w:rPr>
        <w:t xml:space="preserve">v režimu </w:t>
      </w:r>
      <w:r>
        <w:rPr>
          <w:sz w:val="26"/>
          <w:szCs w:val="26"/>
        </w:rPr>
        <w:t xml:space="preserve">tzv. </w:t>
      </w:r>
      <w:r w:rsidRPr="001A4ACA">
        <w:rPr>
          <w:sz w:val="26"/>
          <w:szCs w:val="26"/>
        </w:rPr>
        <w:t>oddělených pokladen)</w:t>
      </w:r>
    </w:p>
    <w:p w:rsidR="00E0096A" w:rsidRPr="00B958AF" w:rsidRDefault="00E0096A" w:rsidP="00E0096A">
      <w:pPr>
        <w:spacing w:after="0" w:line="240" w:lineRule="auto"/>
        <w:rPr>
          <w:sz w:val="26"/>
          <w:szCs w:val="26"/>
        </w:rPr>
      </w:pPr>
      <w:r w:rsidRPr="00B958AF">
        <w:rPr>
          <w:sz w:val="26"/>
          <w:szCs w:val="26"/>
        </w:rPr>
        <w:t>281 – Krátkodobé úvěry</w:t>
      </w:r>
      <w:r>
        <w:rPr>
          <w:sz w:val="26"/>
          <w:szCs w:val="26"/>
        </w:rPr>
        <w:t xml:space="preserve"> (pouze v některých případech)</w:t>
      </w:r>
    </w:p>
    <w:p w:rsidR="00E0096A" w:rsidRPr="00B958AF" w:rsidRDefault="00E0096A" w:rsidP="00E0096A">
      <w:pPr>
        <w:spacing w:after="120" w:line="240" w:lineRule="auto"/>
        <w:rPr>
          <w:sz w:val="26"/>
          <w:szCs w:val="26"/>
        </w:rPr>
      </w:pPr>
      <w:r w:rsidRPr="00B958AF">
        <w:rPr>
          <w:sz w:val="26"/>
          <w:szCs w:val="26"/>
        </w:rPr>
        <w:t xml:space="preserve">451 – Dlouhodobé úvěry </w:t>
      </w:r>
      <w:r>
        <w:rPr>
          <w:sz w:val="26"/>
          <w:szCs w:val="26"/>
        </w:rPr>
        <w:t>(pouze v některých případech)</w:t>
      </w:r>
    </w:p>
    <w:p w:rsidR="00E0096A" w:rsidRPr="009607AE" w:rsidRDefault="00E0096A" w:rsidP="00E0096A">
      <w:pPr>
        <w:spacing w:line="240" w:lineRule="auto"/>
        <w:jc w:val="both"/>
        <w:rPr>
          <w:sz w:val="26"/>
          <w:szCs w:val="26"/>
        </w:rPr>
      </w:pPr>
      <w:r>
        <w:rPr>
          <w:sz w:val="26"/>
          <w:szCs w:val="26"/>
        </w:rPr>
        <w:t xml:space="preserve">Prostřednictvím rozpočtové skladby se netřídí a součástí rozpočtu nejsou účty vedlejší hospodářské činnosti (účet 241) a cizích či sdružených prostředků (účet 245). </w:t>
      </w:r>
    </w:p>
    <w:p w:rsidR="00E0096A" w:rsidRPr="00AF26AF" w:rsidRDefault="00E0096A" w:rsidP="00E0096A">
      <w:pPr>
        <w:spacing w:after="240"/>
        <w:jc w:val="both"/>
        <w:rPr>
          <w:sz w:val="26"/>
          <w:szCs w:val="26"/>
        </w:rPr>
      </w:pPr>
      <w:r w:rsidRPr="00AF26AF">
        <w:rPr>
          <w:b/>
          <w:sz w:val="26"/>
          <w:szCs w:val="26"/>
        </w:rPr>
        <w:t>Základní rovnice rozpočtové skladby</w:t>
      </w:r>
      <w:r>
        <w:rPr>
          <w:b/>
          <w:sz w:val="26"/>
          <w:szCs w:val="26"/>
        </w:rPr>
        <w:t>:</w:t>
      </w:r>
    </w:p>
    <w:tbl>
      <w:tblPr>
        <w:tblW w:w="3940" w:type="dxa"/>
        <w:jc w:val="center"/>
        <w:tblBorders>
          <w:top w:val="single" w:sz="4" w:space="0" w:color="333333"/>
          <w:left w:val="single" w:sz="4" w:space="0" w:color="333333"/>
          <w:bottom w:val="single" w:sz="4" w:space="0" w:color="333333"/>
          <w:right w:val="single" w:sz="4" w:space="0" w:color="333333"/>
        </w:tblBorders>
        <w:tblCellMar>
          <w:left w:w="70" w:type="dxa"/>
          <w:right w:w="70" w:type="dxa"/>
        </w:tblCellMar>
        <w:tblLook w:val="04A0" w:firstRow="1" w:lastRow="0" w:firstColumn="1" w:lastColumn="0" w:noHBand="0" w:noVBand="1"/>
      </w:tblPr>
      <w:tblGrid>
        <w:gridCol w:w="3940"/>
      </w:tblGrid>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before="60" w:after="0" w:line="240" w:lineRule="auto"/>
              <w:jc w:val="center"/>
              <w:rPr>
                <w:color w:val="000000"/>
                <w:sz w:val="26"/>
                <w:szCs w:val="26"/>
              </w:rPr>
            </w:pPr>
            <w:r w:rsidRPr="00AF26AF">
              <w:rPr>
                <w:color w:val="000000"/>
                <w:sz w:val="26"/>
                <w:szCs w:val="26"/>
              </w:rPr>
              <w:t xml:space="preserve">Příjmy (tř. 1 </w:t>
            </w:r>
            <w:r>
              <w:rPr>
                <w:color w:val="000000"/>
                <w:sz w:val="26"/>
                <w:szCs w:val="26"/>
              </w:rPr>
              <w:t>-</w:t>
            </w:r>
            <w:r w:rsidRPr="00AF26AF">
              <w:rPr>
                <w:color w:val="000000"/>
                <w:sz w:val="26"/>
                <w:szCs w:val="26"/>
              </w:rPr>
              <w:t xml:space="preserve"> 4) – výdaje (tř. 5 - 6) </w:t>
            </w:r>
          </w:p>
        </w:tc>
      </w:tr>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after="0" w:line="240" w:lineRule="auto"/>
              <w:jc w:val="center"/>
              <w:rPr>
                <w:color w:val="000000"/>
                <w:sz w:val="26"/>
                <w:szCs w:val="26"/>
              </w:rPr>
            </w:pPr>
            <w:r w:rsidRPr="00AF26AF">
              <w:rPr>
                <w:color w:val="000000"/>
                <w:sz w:val="26"/>
                <w:szCs w:val="26"/>
              </w:rPr>
              <w:t>=</w:t>
            </w:r>
          </w:p>
        </w:tc>
      </w:tr>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after="0" w:line="240" w:lineRule="auto"/>
              <w:jc w:val="center"/>
              <w:rPr>
                <w:color w:val="000000"/>
                <w:sz w:val="26"/>
                <w:szCs w:val="26"/>
              </w:rPr>
            </w:pPr>
            <w:r w:rsidRPr="00AF26AF">
              <w:rPr>
                <w:color w:val="000000"/>
                <w:sz w:val="26"/>
                <w:szCs w:val="26"/>
              </w:rPr>
              <w:t>Saldo (rozdíl) příjmů a výdajů</w:t>
            </w:r>
          </w:p>
        </w:tc>
      </w:tr>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after="0" w:line="240" w:lineRule="auto"/>
              <w:jc w:val="center"/>
              <w:rPr>
                <w:i/>
                <w:color w:val="000000"/>
                <w:sz w:val="26"/>
                <w:szCs w:val="26"/>
              </w:rPr>
            </w:pPr>
            <w:r w:rsidRPr="00AF26AF">
              <w:rPr>
                <w:i/>
                <w:color w:val="000000"/>
                <w:sz w:val="26"/>
                <w:szCs w:val="26"/>
              </w:rPr>
              <w:t>(+ přebytek</w:t>
            </w:r>
            <w:r>
              <w:rPr>
                <w:i/>
                <w:color w:val="000000"/>
                <w:sz w:val="26"/>
                <w:szCs w:val="26"/>
              </w:rPr>
              <w:t xml:space="preserve"> </w:t>
            </w:r>
            <w:r w:rsidRPr="00AF26AF">
              <w:rPr>
                <w:i/>
                <w:color w:val="000000"/>
                <w:sz w:val="26"/>
                <w:szCs w:val="26"/>
              </w:rPr>
              <w:t>/ - schodek)</w:t>
            </w:r>
          </w:p>
        </w:tc>
      </w:tr>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after="0" w:line="240" w:lineRule="auto"/>
              <w:jc w:val="center"/>
              <w:rPr>
                <w:color w:val="000000"/>
                <w:sz w:val="26"/>
                <w:szCs w:val="26"/>
              </w:rPr>
            </w:pPr>
            <w:r w:rsidRPr="00AF26AF">
              <w:rPr>
                <w:color w:val="000000"/>
                <w:sz w:val="26"/>
                <w:szCs w:val="26"/>
              </w:rPr>
              <w:t>=</w:t>
            </w:r>
          </w:p>
        </w:tc>
      </w:tr>
      <w:tr w:rsidR="00E0096A" w:rsidRPr="00AF26AF" w:rsidTr="00A01625">
        <w:trPr>
          <w:trHeight w:val="300"/>
          <w:jc w:val="center"/>
        </w:trPr>
        <w:tc>
          <w:tcPr>
            <w:tcW w:w="3940" w:type="dxa"/>
            <w:shd w:val="clear" w:color="auto" w:fill="auto"/>
            <w:noWrap/>
            <w:vAlign w:val="center"/>
            <w:hideMark/>
          </w:tcPr>
          <w:p w:rsidR="00E0096A" w:rsidRPr="00AF26AF" w:rsidRDefault="00E0096A" w:rsidP="00A01625">
            <w:pPr>
              <w:spacing w:after="60" w:line="240" w:lineRule="auto"/>
              <w:jc w:val="center"/>
              <w:rPr>
                <w:b/>
                <w:color w:val="000000"/>
                <w:sz w:val="26"/>
                <w:szCs w:val="26"/>
              </w:rPr>
            </w:pPr>
            <w:r w:rsidRPr="00AF26AF">
              <w:rPr>
                <w:b/>
                <w:color w:val="000000"/>
                <w:sz w:val="26"/>
                <w:szCs w:val="26"/>
              </w:rPr>
              <w:t>+/- Financování (tř</w:t>
            </w:r>
            <w:r>
              <w:rPr>
                <w:b/>
                <w:color w:val="000000"/>
                <w:sz w:val="26"/>
                <w:szCs w:val="26"/>
              </w:rPr>
              <w:t>.</w:t>
            </w:r>
            <w:r w:rsidRPr="00AF26AF">
              <w:rPr>
                <w:b/>
                <w:color w:val="000000"/>
                <w:sz w:val="26"/>
                <w:szCs w:val="26"/>
              </w:rPr>
              <w:t xml:space="preserve"> 8)</w:t>
            </w:r>
          </w:p>
        </w:tc>
      </w:tr>
    </w:tbl>
    <w:p w:rsidR="00E0096A" w:rsidRPr="005C4102" w:rsidRDefault="00E0096A" w:rsidP="00E0096A">
      <w:pPr>
        <w:spacing w:before="240" w:after="120"/>
        <w:rPr>
          <w:b/>
          <w:sz w:val="26"/>
          <w:szCs w:val="26"/>
        </w:rPr>
      </w:pPr>
      <w:r>
        <w:rPr>
          <w:b/>
          <w:sz w:val="26"/>
          <w:szCs w:val="26"/>
        </w:rPr>
        <w:t>Možné operace v třídě 8 (financování) se znaménkem plus</w:t>
      </w:r>
      <w:r w:rsidRPr="005C4102">
        <w:rPr>
          <w:b/>
          <w:sz w:val="26"/>
          <w:szCs w:val="26"/>
        </w:rPr>
        <w:t xml:space="preserve">: </w:t>
      </w:r>
    </w:p>
    <w:p w:rsidR="00E0096A"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AF26AF">
        <w:rPr>
          <w:sz w:val="26"/>
          <w:szCs w:val="26"/>
        </w:rPr>
        <w:t>Přijaté prostředky, které musí být ve stanovené době splaceny (např. přijatý úvěr od banky,</w:t>
      </w:r>
      <w:r>
        <w:rPr>
          <w:sz w:val="26"/>
          <w:szCs w:val="26"/>
        </w:rPr>
        <w:t xml:space="preserve"> přijatá </w:t>
      </w:r>
      <w:r w:rsidRPr="00AF26AF">
        <w:rPr>
          <w:sz w:val="26"/>
          <w:szCs w:val="26"/>
        </w:rPr>
        <w:t>návratn</w:t>
      </w:r>
      <w:r>
        <w:rPr>
          <w:sz w:val="26"/>
          <w:szCs w:val="26"/>
        </w:rPr>
        <w:t>á</w:t>
      </w:r>
      <w:r w:rsidRPr="00AF26AF">
        <w:rPr>
          <w:sz w:val="26"/>
          <w:szCs w:val="26"/>
        </w:rPr>
        <w:t xml:space="preserve"> finanční výpomoc</w:t>
      </w:r>
      <w:r>
        <w:rPr>
          <w:sz w:val="26"/>
          <w:szCs w:val="26"/>
        </w:rPr>
        <w:t xml:space="preserve"> od kraje,</w:t>
      </w:r>
      <w:r w:rsidRPr="00AF26AF">
        <w:rPr>
          <w:sz w:val="26"/>
          <w:szCs w:val="26"/>
        </w:rPr>
        <w:t xml:space="preserve"> vydání vlastních dluhopisů).</w:t>
      </w:r>
    </w:p>
    <w:p w:rsidR="00E0096A"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957C4D">
        <w:rPr>
          <w:sz w:val="26"/>
          <w:szCs w:val="26"/>
        </w:rPr>
        <w:t xml:space="preserve">Převod prostředků na </w:t>
      </w:r>
      <w:r>
        <w:rPr>
          <w:sz w:val="26"/>
          <w:szCs w:val="26"/>
        </w:rPr>
        <w:t>základní běžný účet</w:t>
      </w:r>
      <w:r w:rsidRPr="00957C4D">
        <w:rPr>
          <w:sz w:val="26"/>
          <w:szCs w:val="26"/>
        </w:rPr>
        <w:t xml:space="preserve"> z termínovaných vkladových účtů</w:t>
      </w:r>
      <w:r>
        <w:rPr>
          <w:sz w:val="26"/>
          <w:szCs w:val="26"/>
        </w:rPr>
        <w:t xml:space="preserve"> (termínované vkladové účty se netřídí rozpočtovou skladbou). </w:t>
      </w:r>
    </w:p>
    <w:p w:rsidR="00E0096A" w:rsidRPr="00957C4D"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957C4D">
        <w:rPr>
          <w:sz w:val="26"/>
          <w:szCs w:val="26"/>
        </w:rPr>
        <w:t>Zapojení vlastních prostředků z minulých let (pol. 8115</w:t>
      </w:r>
      <w:r>
        <w:rPr>
          <w:sz w:val="26"/>
          <w:szCs w:val="26"/>
        </w:rPr>
        <w:t xml:space="preserve"> s kladným znaménkem</w:t>
      </w:r>
      <w:r w:rsidRPr="00957C4D">
        <w:rPr>
          <w:sz w:val="26"/>
          <w:szCs w:val="26"/>
        </w:rPr>
        <w:t>)</w:t>
      </w:r>
      <w:r>
        <w:rPr>
          <w:sz w:val="26"/>
          <w:szCs w:val="26"/>
        </w:rPr>
        <w:t>.</w:t>
      </w:r>
    </w:p>
    <w:p w:rsidR="00E0096A" w:rsidRPr="00EE0A40" w:rsidRDefault="00E0096A" w:rsidP="00E0096A">
      <w:pPr>
        <w:spacing w:line="240" w:lineRule="auto"/>
        <w:jc w:val="both"/>
        <w:rPr>
          <w:b/>
          <w:sz w:val="26"/>
          <w:szCs w:val="26"/>
        </w:rPr>
      </w:pPr>
      <w:r w:rsidRPr="00EE0A40">
        <w:rPr>
          <w:b/>
          <w:sz w:val="26"/>
          <w:szCs w:val="26"/>
        </w:rPr>
        <w:t>Přijat</w:t>
      </w:r>
      <w:r>
        <w:rPr>
          <w:b/>
          <w:sz w:val="26"/>
          <w:szCs w:val="26"/>
        </w:rPr>
        <w:t>é</w:t>
      </w:r>
      <w:r w:rsidRPr="00EE0A40">
        <w:rPr>
          <w:b/>
          <w:sz w:val="26"/>
          <w:szCs w:val="26"/>
        </w:rPr>
        <w:t xml:space="preserve"> návratné zdroje (úvěr, půjčka, návratná finanční výpomoc) jsou vždy operace třídy 8 (financování), z hlediska </w:t>
      </w:r>
      <w:r>
        <w:rPr>
          <w:b/>
          <w:sz w:val="26"/>
          <w:szCs w:val="26"/>
        </w:rPr>
        <w:t>systematiky</w:t>
      </w:r>
      <w:r w:rsidRPr="00EE0A40">
        <w:rPr>
          <w:b/>
          <w:sz w:val="26"/>
          <w:szCs w:val="26"/>
        </w:rPr>
        <w:t xml:space="preserve"> rozpočtu se nejedná o příjmy. </w:t>
      </w:r>
    </w:p>
    <w:p w:rsidR="00E0096A" w:rsidRPr="00C17923" w:rsidRDefault="00E0096A" w:rsidP="00E0096A">
      <w:pPr>
        <w:spacing w:before="160" w:after="120"/>
        <w:rPr>
          <w:b/>
          <w:sz w:val="26"/>
          <w:szCs w:val="26"/>
        </w:rPr>
      </w:pPr>
      <w:r w:rsidRPr="00C17923">
        <w:rPr>
          <w:b/>
          <w:sz w:val="26"/>
          <w:szCs w:val="26"/>
        </w:rPr>
        <w:t xml:space="preserve">Možné operace v třídě 8 (financování) se znaménkem mínus: </w:t>
      </w:r>
    </w:p>
    <w:p w:rsidR="00E0096A"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Pr>
          <w:sz w:val="26"/>
          <w:szCs w:val="26"/>
        </w:rPr>
        <w:lastRenderedPageBreak/>
        <w:t>Poskytnuté půjčky, nákup</w:t>
      </w:r>
      <w:r w:rsidRPr="00AF26AF">
        <w:rPr>
          <w:sz w:val="26"/>
          <w:szCs w:val="26"/>
        </w:rPr>
        <w:t xml:space="preserve"> akcií</w:t>
      </w:r>
      <w:r>
        <w:rPr>
          <w:sz w:val="26"/>
          <w:szCs w:val="26"/>
        </w:rPr>
        <w:t xml:space="preserve">, </w:t>
      </w:r>
      <w:r w:rsidRPr="005C4102">
        <w:rPr>
          <w:sz w:val="26"/>
          <w:szCs w:val="26"/>
        </w:rPr>
        <w:t>cizích dluhopisů</w:t>
      </w:r>
      <w:r>
        <w:rPr>
          <w:sz w:val="26"/>
          <w:szCs w:val="26"/>
        </w:rPr>
        <w:t xml:space="preserve"> (vše </w:t>
      </w:r>
      <w:r w:rsidRPr="005C4102">
        <w:rPr>
          <w:sz w:val="26"/>
          <w:szCs w:val="26"/>
        </w:rPr>
        <w:t>za účelem zhodnocení dočasně volných peněžních prostředků</w:t>
      </w:r>
      <w:r>
        <w:rPr>
          <w:sz w:val="26"/>
          <w:szCs w:val="26"/>
        </w:rPr>
        <w:t xml:space="preserve">). </w:t>
      </w:r>
    </w:p>
    <w:p w:rsidR="00E0096A"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957C4D">
        <w:rPr>
          <w:sz w:val="26"/>
          <w:szCs w:val="26"/>
        </w:rPr>
        <w:t>Převod prostředků na termínované vkladové účty</w:t>
      </w:r>
      <w:r>
        <w:rPr>
          <w:sz w:val="26"/>
          <w:szCs w:val="26"/>
        </w:rPr>
        <w:t xml:space="preserve"> (termínované vkladové účty se netřídí rozpočtovou skladbou).</w:t>
      </w:r>
    </w:p>
    <w:p w:rsidR="00E0096A"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957C4D">
        <w:rPr>
          <w:sz w:val="26"/>
          <w:szCs w:val="26"/>
        </w:rPr>
        <w:t>Splátky dříve přijatých půjčených prostředků.</w:t>
      </w:r>
    </w:p>
    <w:p w:rsidR="00E0096A" w:rsidRPr="00957C4D" w:rsidRDefault="00E0096A" w:rsidP="00AB33EC">
      <w:pPr>
        <w:pStyle w:val="Odstavecseseznamem"/>
        <w:numPr>
          <w:ilvl w:val="0"/>
          <w:numId w:val="2"/>
        </w:numPr>
        <w:autoSpaceDN w:val="0"/>
        <w:spacing w:after="120" w:line="240" w:lineRule="auto"/>
        <w:ind w:left="284" w:hanging="284"/>
        <w:contextualSpacing w:val="0"/>
        <w:jc w:val="both"/>
        <w:textAlignment w:val="baseline"/>
        <w:rPr>
          <w:sz w:val="26"/>
          <w:szCs w:val="26"/>
        </w:rPr>
      </w:pPr>
      <w:r w:rsidRPr="00957C4D">
        <w:rPr>
          <w:sz w:val="26"/>
          <w:szCs w:val="26"/>
        </w:rPr>
        <w:t xml:space="preserve">Zvýšení stavu peněžních prostředků (pol. 8115 se záporným znaménkem). </w:t>
      </w:r>
    </w:p>
    <w:p w:rsidR="00E0096A" w:rsidRDefault="00E0096A" w:rsidP="00E0096A">
      <w:pPr>
        <w:spacing w:after="120" w:line="240" w:lineRule="auto"/>
        <w:jc w:val="both"/>
        <w:rPr>
          <w:sz w:val="26"/>
          <w:szCs w:val="26"/>
        </w:rPr>
      </w:pPr>
      <w:r>
        <w:rPr>
          <w:sz w:val="26"/>
          <w:szCs w:val="26"/>
        </w:rPr>
        <w:t>Prostředky p</w:t>
      </w:r>
      <w:r w:rsidRPr="00573A27">
        <w:rPr>
          <w:sz w:val="26"/>
          <w:szCs w:val="26"/>
        </w:rPr>
        <w:t>oskyt</w:t>
      </w:r>
      <w:r>
        <w:rPr>
          <w:sz w:val="26"/>
          <w:szCs w:val="26"/>
        </w:rPr>
        <w:t>ované</w:t>
      </w:r>
      <w:r w:rsidRPr="00573A27">
        <w:rPr>
          <w:sz w:val="26"/>
          <w:szCs w:val="26"/>
        </w:rPr>
        <w:t xml:space="preserve"> </w:t>
      </w:r>
      <w:r w:rsidRPr="00573A27">
        <w:rPr>
          <w:b/>
          <w:sz w:val="26"/>
          <w:szCs w:val="26"/>
        </w:rPr>
        <w:t xml:space="preserve">za účelem </w:t>
      </w:r>
      <w:r>
        <w:rPr>
          <w:b/>
          <w:sz w:val="26"/>
          <w:szCs w:val="26"/>
        </w:rPr>
        <w:t xml:space="preserve">jejich </w:t>
      </w:r>
      <w:r w:rsidRPr="00573A27">
        <w:rPr>
          <w:b/>
          <w:sz w:val="26"/>
          <w:szCs w:val="26"/>
        </w:rPr>
        <w:t xml:space="preserve">zhodnocení </w:t>
      </w:r>
      <w:r w:rsidRPr="00573A27">
        <w:rPr>
          <w:sz w:val="26"/>
          <w:szCs w:val="26"/>
        </w:rPr>
        <w:t>jsou operac</w:t>
      </w:r>
      <w:r>
        <w:rPr>
          <w:sz w:val="26"/>
          <w:szCs w:val="26"/>
        </w:rPr>
        <w:t>emi</w:t>
      </w:r>
      <w:r w:rsidRPr="00573A27">
        <w:rPr>
          <w:sz w:val="26"/>
          <w:szCs w:val="26"/>
        </w:rPr>
        <w:t xml:space="preserve"> v</w:t>
      </w:r>
      <w:r>
        <w:rPr>
          <w:sz w:val="26"/>
          <w:szCs w:val="26"/>
        </w:rPr>
        <w:t> třídě 8</w:t>
      </w:r>
      <w:r w:rsidRPr="00573A27">
        <w:rPr>
          <w:sz w:val="26"/>
          <w:szCs w:val="26"/>
        </w:rPr>
        <w:t xml:space="preserve"> </w:t>
      </w:r>
      <w:r>
        <w:rPr>
          <w:sz w:val="26"/>
          <w:szCs w:val="26"/>
        </w:rPr>
        <w:t>(</w:t>
      </w:r>
      <w:r w:rsidRPr="00573A27">
        <w:rPr>
          <w:sz w:val="26"/>
          <w:szCs w:val="26"/>
        </w:rPr>
        <w:t>financování</w:t>
      </w:r>
      <w:r>
        <w:rPr>
          <w:sz w:val="26"/>
          <w:szCs w:val="26"/>
        </w:rPr>
        <w:t>)</w:t>
      </w:r>
      <w:r w:rsidRPr="00573A27">
        <w:rPr>
          <w:sz w:val="26"/>
          <w:szCs w:val="26"/>
        </w:rPr>
        <w:t xml:space="preserve">. </w:t>
      </w:r>
      <w:r>
        <w:rPr>
          <w:sz w:val="26"/>
          <w:szCs w:val="26"/>
        </w:rPr>
        <w:t xml:space="preserve">Obce se v těchto případech chovají obdobně jako tržní subjekty, které se snaží maximalizovat zisk (úrokový výnos) tím, že např. ukládají prostředky na termínované účty, nakupují akcie za účelem zhodnocení prostředků apod. (rozpočtová skladba tento způsob zhodnocování prostředků nazývá jako tzv. aktivní operace řízení likvidity). V rozpočtové skladbě se pro vydané prostředky za účelem jejich zhodnocení používají položky 8118 (krátkodobé) nebo 8128 (dlouhodobé). </w:t>
      </w:r>
    </w:p>
    <w:p w:rsidR="00E0096A" w:rsidRPr="0039192A" w:rsidRDefault="00E0096A" w:rsidP="00E0096A">
      <w:pPr>
        <w:spacing w:after="120" w:line="240" w:lineRule="auto"/>
        <w:jc w:val="both"/>
        <w:rPr>
          <w:sz w:val="26"/>
          <w:szCs w:val="26"/>
        </w:rPr>
      </w:pPr>
      <w:r>
        <w:rPr>
          <w:sz w:val="26"/>
          <w:szCs w:val="26"/>
        </w:rPr>
        <w:t xml:space="preserve">Obce mohou rovněž prostředky návratně poskytnout nikoliv za účelem jejich zhodnocení, ale </w:t>
      </w:r>
      <w:r w:rsidRPr="00F3197C">
        <w:rPr>
          <w:b/>
          <w:sz w:val="26"/>
          <w:szCs w:val="26"/>
        </w:rPr>
        <w:t>za účelem podpory</w:t>
      </w:r>
      <w:r>
        <w:rPr>
          <w:sz w:val="26"/>
          <w:szCs w:val="26"/>
        </w:rPr>
        <w:t xml:space="preserve"> </w:t>
      </w:r>
      <w:r w:rsidRPr="00FF4506">
        <w:rPr>
          <w:b/>
          <w:sz w:val="26"/>
          <w:szCs w:val="26"/>
        </w:rPr>
        <w:t>příjemce</w:t>
      </w:r>
      <w:r>
        <w:rPr>
          <w:sz w:val="26"/>
          <w:szCs w:val="26"/>
        </w:rPr>
        <w:t xml:space="preserve"> (občana, jiné obce …). V těchto případech se obce chovají jako veřejnoprávní subjekty; jedná se především o poskytování návratných finančních výpomocí (bezúročných) podle zákona č. 250/2000 Sb. </w:t>
      </w:r>
      <w:r w:rsidRPr="0072233D">
        <w:rPr>
          <w:sz w:val="26"/>
          <w:szCs w:val="26"/>
        </w:rPr>
        <w:t>Rozpočtová skladba tento způsob podpory nazývá jako akt rozpočtové politiky</w:t>
      </w:r>
      <w:r>
        <w:rPr>
          <w:sz w:val="26"/>
          <w:szCs w:val="26"/>
        </w:rPr>
        <w:t>, který se klasifikuje jako výdaj (nikoliv financování); položka se volí z podseskupení 56xx (neinvestiční půjčené prostředky) nebo 64xx (investiční půjčené prostředky</w:t>
      </w:r>
      <w:r w:rsidRPr="0072233D">
        <w:rPr>
          <w:sz w:val="26"/>
          <w:szCs w:val="26"/>
        </w:rPr>
        <w:t xml:space="preserve">). </w:t>
      </w:r>
    </w:p>
    <w:p w:rsidR="00E0096A" w:rsidRPr="00731532" w:rsidRDefault="00E0096A" w:rsidP="00AB33EC">
      <w:pPr>
        <w:pStyle w:val="Nadpis2"/>
        <w:numPr>
          <w:ilvl w:val="1"/>
          <w:numId w:val="1"/>
        </w:numPr>
        <w:spacing w:before="360" w:after="240" w:line="240" w:lineRule="auto"/>
        <w:ind w:left="851"/>
        <w:rPr>
          <w:sz w:val="28"/>
          <w:szCs w:val="28"/>
        </w:rPr>
      </w:pPr>
      <w:bookmarkStart w:id="1" w:name="_Toc6875900"/>
      <w:r>
        <w:rPr>
          <w:sz w:val="28"/>
          <w:szCs w:val="28"/>
        </w:rPr>
        <w:t>Klasifikace rozpočtu (přebytkový, schodkový, vyrovnaný)</w:t>
      </w:r>
      <w:bookmarkEnd w:id="1"/>
    </w:p>
    <w:p w:rsidR="00E0096A" w:rsidRPr="00AF26AF" w:rsidRDefault="00E0096A" w:rsidP="00E0096A">
      <w:pPr>
        <w:spacing w:line="240" w:lineRule="auto"/>
        <w:jc w:val="both"/>
        <w:rPr>
          <w:sz w:val="26"/>
          <w:szCs w:val="26"/>
        </w:rPr>
      </w:pPr>
      <w:r>
        <w:rPr>
          <w:sz w:val="26"/>
          <w:szCs w:val="26"/>
        </w:rPr>
        <w:t>Souhrnná výše t</w:t>
      </w:r>
      <w:r w:rsidRPr="00AF26AF">
        <w:rPr>
          <w:sz w:val="26"/>
          <w:szCs w:val="26"/>
        </w:rPr>
        <w:t>říd</w:t>
      </w:r>
      <w:r>
        <w:rPr>
          <w:sz w:val="26"/>
          <w:szCs w:val="26"/>
        </w:rPr>
        <w:t>y</w:t>
      </w:r>
      <w:r w:rsidRPr="00AF26AF">
        <w:rPr>
          <w:sz w:val="26"/>
          <w:szCs w:val="26"/>
        </w:rPr>
        <w:t xml:space="preserve"> 8</w:t>
      </w:r>
      <w:r>
        <w:rPr>
          <w:sz w:val="26"/>
          <w:szCs w:val="26"/>
        </w:rPr>
        <w:t xml:space="preserve"> (</w:t>
      </w:r>
      <w:r w:rsidRPr="00AF26AF">
        <w:rPr>
          <w:sz w:val="26"/>
          <w:szCs w:val="26"/>
        </w:rPr>
        <w:t>financování</w:t>
      </w:r>
      <w:r>
        <w:rPr>
          <w:sz w:val="26"/>
          <w:szCs w:val="26"/>
        </w:rPr>
        <w:t xml:space="preserve">) je </w:t>
      </w:r>
      <w:r w:rsidRPr="00AF26AF">
        <w:rPr>
          <w:sz w:val="26"/>
          <w:szCs w:val="26"/>
        </w:rPr>
        <w:t>vždy opačn</w:t>
      </w:r>
      <w:r>
        <w:rPr>
          <w:sz w:val="26"/>
          <w:szCs w:val="26"/>
        </w:rPr>
        <w:t>é</w:t>
      </w:r>
      <w:r w:rsidRPr="00AF26AF">
        <w:rPr>
          <w:sz w:val="26"/>
          <w:szCs w:val="26"/>
        </w:rPr>
        <w:t xml:space="preserve"> čísl</w:t>
      </w:r>
      <w:r>
        <w:rPr>
          <w:sz w:val="26"/>
          <w:szCs w:val="26"/>
        </w:rPr>
        <w:t xml:space="preserve">o </w:t>
      </w:r>
      <w:r w:rsidRPr="00AF26AF">
        <w:rPr>
          <w:sz w:val="26"/>
          <w:szCs w:val="26"/>
        </w:rPr>
        <w:t>k číslu vyjadřujícímu rozdíl mezi příjmy a výdaj</w:t>
      </w:r>
      <w:r>
        <w:rPr>
          <w:sz w:val="26"/>
          <w:szCs w:val="26"/>
        </w:rPr>
        <w:t>i:</w:t>
      </w:r>
    </w:p>
    <w:p w:rsidR="00E0096A" w:rsidRPr="00AF26AF" w:rsidRDefault="00E0096A" w:rsidP="00E0096A">
      <w:pPr>
        <w:spacing w:after="120" w:line="240" w:lineRule="auto"/>
        <w:rPr>
          <w:i/>
          <w:sz w:val="26"/>
          <w:szCs w:val="26"/>
        </w:rPr>
      </w:pPr>
      <w:r w:rsidRPr="00AF26AF">
        <w:rPr>
          <w:i/>
          <w:sz w:val="26"/>
          <w:szCs w:val="26"/>
        </w:rPr>
        <w:t>Varianta 1 – přebytkový rozpočet</w:t>
      </w:r>
      <w:r>
        <w:rPr>
          <w:i/>
          <w:sz w:val="26"/>
          <w:szCs w:val="26"/>
        </w:rPr>
        <w:t xml:space="preserve"> (tis. Kč)</w:t>
      </w:r>
    </w:p>
    <w:tbl>
      <w:tblPr>
        <w:tblW w:w="5331" w:type="dxa"/>
        <w:tblInd w:w="51" w:type="dxa"/>
        <w:tblCellMar>
          <w:left w:w="70" w:type="dxa"/>
          <w:right w:w="70" w:type="dxa"/>
        </w:tblCellMar>
        <w:tblLook w:val="04A0" w:firstRow="1" w:lastRow="0" w:firstColumn="1" w:lastColumn="0" w:noHBand="0" w:noVBand="1"/>
      </w:tblPr>
      <w:tblGrid>
        <w:gridCol w:w="3913"/>
        <w:gridCol w:w="1418"/>
      </w:tblGrid>
      <w:tr w:rsidR="00E0096A" w:rsidRPr="00AF26AF" w:rsidTr="00A01625">
        <w:trPr>
          <w:trHeight w:val="300"/>
        </w:trPr>
        <w:tc>
          <w:tcPr>
            <w:tcW w:w="3913" w:type="dxa"/>
            <w:tcBorders>
              <w:top w:val="single" w:sz="4" w:space="0" w:color="auto"/>
              <w:left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Příjmy (tř. 1 - 4)</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20</w:t>
            </w:r>
            <w:r>
              <w:rPr>
                <w:color w:val="000000"/>
                <w:sz w:val="26"/>
                <w:szCs w:val="26"/>
              </w:rPr>
              <w:t xml:space="preserve"> 000</w:t>
            </w:r>
          </w:p>
        </w:tc>
      </w:tr>
      <w:tr w:rsidR="00E0096A" w:rsidRPr="00AF26AF" w:rsidTr="00A01625">
        <w:trPr>
          <w:trHeight w:val="300"/>
        </w:trPr>
        <w:tc>
          <w:tcPr>
            <w:tcW w:w="3913" w:type="dxa"/>
            <w:tcBorders>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Výdaje (tř. 5 - 6)</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17</w:t>
            </w:r>
            <w:r>
              <w:rPr>
                <w:color w:val="000000"/>
                <w:sz w:val="26"/>
                <w:szCs w:val="26"/>
              </w:rPr>
              <w:t xml:space="preserve"> 000</w:t>
            </w:r>
          </w:p>
        </w:tc>
      </w:tr>
      <w:tr w:rsidR="00E0096A" w:rsidRPr="00AF26AF" w:rsidTr="00A01625">
        <w:trPr>
          <w:trHeight w:val="300"/>
        </w:trPr>
        <w:tc>
          <w:tcPr>
            <w:tcW w:w="3913" w:type="dxa"/>
            <w:tcBorders>
              <w:top w:val="single" w:sz="4" w:space="0" w:color="auto"/>
              <w:left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b/>
                <w:color w:val="000000"/>
                <w:sz w:val="26"/>
                <w:szCs w:val="26"/>
              </w:rPr>
            </w:pPr>
            <w:r w:rsidRPr="00AF26AF">
              <w:rPr>
                <w:b/>
                <w:color w:val="000000"/>
                <w:sz w:val="26"/>
                <w:szCs w:val="26"/>
              </w:rPr>
              <w:t>Saldo</w:t>
            </w:r>
          </w:p>
        </w:tc>
        <w:tc>
          <w:tcPr>
            <w:tcW w:w="1418" w:type="dxa"/>
            <w:tcBorders>
              <w:top w:val="single" w:sz="4" w:space="0" w:color="auto"/>
              <w:left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b/>
                <w:color w:val="000000"/>
                <w:sz w:val="26"/>
                <w:szCs w:val="26"/>
              </w:rPr>
            </w:pPr>
            <w:r w:rsidRPr="00AF26AF">
              <w:rPr>
                <w:b/>
                <w:color w:val="000000"/>
                <w:sz w:val="26"/>
                <w:szCs w:val="26"/>
              </w:rPr>
              <w:t>3</w:t>
            </w:r>
            <w:r>
              <w:rPr>
                <w:b/>
                <w:color w:val="000000"/>
                <w:sz w:val="26"/>
                <w:szCs w:val="26"/>
              </w:rPr>
              <w:t xml:space="preserve"> 000</w:t>
            </w:r>
          </w:p>
        </w:tc>
      </w:tr>
      <w:tr w:rsidR="00E0096A" w:rsidRPr="00AF26AF" w:rsidTr="00A01625">
        <w:trPr>
          <w:trHeight w:val="300"/>
        </w:trPr>
        <w:tc>
          <w:tcPr>
            <w:tcW w:w="3913" w:type="dxa"/>
            <w:tcBorders>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Financování (tř. 8)</w:t>
            </w:r>
          </w:p>
        </w:tc>
        <w:tc>
          <w:tcPr>
            <w:tcW w:w="1418" w:type="dxa"/>
            <w:tcBorders>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-3</w:t>
            </w:r>
            <w:r>
              <w:rPr>
                <w:color w:val="000000"/>
                <w:sz w:val="26"/>
                <w:szCs w:val="26"/>
              </w:rPr>
              <w:t xml:space="preserve"> 000</w:t>
            </w:r>
          </w:p>
        </w:tc>
      </w:tr>
      <w:tr w:rsidR="00E0096A" w:rsidRPr="00AF26AF" w:rsidTr="00A01625">
        <w:trPr>
          <w:trHeight w:val="300"/>
        </w:trPr>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 xml:space="preserve">Součet salda a </w:t>
            </w:r>
            <w:r>
              <w:rPr>
                <w:color w:val="000000"/>
                <w:sz w:val="26"/>
                <w:szCs w:val="26"/>
              </w:rPr>
              <w:t>financování</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0</w:t>
            </w:r>
          </w:p>
        </w:tc>
      </w:tr>
    </w:tbl>
    <w:p w:rsidR="00E0096A" w:rsidRPr="00AF26AF" w:rsidRDefault="00E0096A" w:rsidP="00E0096A">
      <w:pPr>
        <w:spacing w:before="240" w:after="120"/>
        <w:jc w:val="both"/>
        <w:rPr>
          <w:i/>
          <w:sz w:val="26"/>
          <w:szCs w:val="26"/>
        </w:rPr>
      </w:pPr>
      <w:r w:rsidRPr="00AF26AF">
        <w:rPr>
          <w:i/>
          <w:sz w:val="26"/>
          <w:szCs w:val="26"/>
        </w:rPr>
        <w:t xml:space="preserve">Varianta 2 – schodkový rozpočet </w:t>
      </w:r>
      <w:r>
        <w:rPr>
          <w:i/>
          <w:sz w:val="26"/>
          <w:szCs w:val="26"/>
        </w:rPr>
        <w:t>(tis. Kč)</w:t>
      </w:r>
    </w:p>
    <w:tbl>
      <w:tblPr>
        <w:tblW w:w="5331" w:type="dxa"/>
        <w:tblInd w:w="51" w:type="dxa"/>
        <w:tblCellMar>
          <w:left w:w="70" w:type="dxa"/>
          <w:right w:w="70" w:type="dxa"/>
        </w:tblCellMar>
        <w:tblLook w:val="04A0" w:firstRow="1" w:lastRow="0" w:firstColumn="1" w:lastColumn="0" w:noHBand="0" w:noVBand="1"/>
      </w:tblPr>
      <w:tblGrid>
        <w:gridCol w:w="3913"/>
        <w:gridCol w:w="1418"/>
      </w:tblGrid>
      <w:tr w:rsidR="00E0096A" w:rsidRPr="00AF26AF" w:rsidTr="00A01625">
        <w:trPr>
          <w:trHeight w:val="300"/>
        </w:trPr>
        <w:tc>
          <w:tcPr>
            <w:tcW w:w="3913" w:type="dxa"/>
            <w:tcBorders>
              <w:top w:val="single" w:sz="4" w:space="0" w:color="auto"/>
              <w:left w:val="single" w:sz="4" w:space="0" w:color="auto"/>
              <w:bottom w:val="nil"/>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Příjmy (tř. 1</w:t>
            </w:r>
            <w:r>
              <w:rPr>
                <w:color w:val="000000"/>
                <w:sz w:val="26"/>
                <w:szCs w:val="26"/>
              </w:rPr>
              <w:t xml:space="preserve"> </w:t>
            </w:r>
            <w:r w:rsidRPr="00AF26AF">
              <w:rPr>
                <w:color w:val="000000"/>
                <w:sz w:val="26"/>
                <w:szCs w:val="26"/>
              </w:rPr>
              <w:t>-</w:t>
            </w:r>
            <w:r>
              <w:rPr>
                <w:color w:val="000000"/>
                <w:sz w:val="26"/>
                <w:szCs w:val="26"/>
              </w:rPr>
              <w:t xml:space="preserve"> </w:t>
            </w:r>
            <w:r w:rsidRPr="00AF26AF">
              <w:rPr>
                <w:color w:val="000000"/>
                <w:sz w:val="26"/>
                <w:szCs w:val="26"/>
              </w:rPr>
              <w:t>4)</w:t>
            </w:r>
          </w:p>
        </w:tc>
        <w:tc>
          <w:tcPr>
            <w:tcW w:w="1418" w:type="dxa"/>
            <w:tcBorders>
              <w:top w:val="single" w:sz="4" w:space="0" w:color="auto"/>
              <w:left w:val="nil"/>
              <w:bottom w:val="nil"/>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18</w:t>
            </w:r>
            <w:r>
              <w:rPr>
                <w:color w:val="000000"/>
                <w:sz w:val="26"/>
                <w:szCs w:val="26"/>
              </w:rPr>
              <w:t xml:space="preserve"> 000</w:t>
            </w:r>
          </w:p>
        </w:tc>
      </w:tr>
      <w:tr w:rsidR="00E0096A" w:rsidRPr="00AF26AF" w:rsidTr="00A01625">
        <w:trPr>
          <w:trHeight w:val="300"/>
        </w:trPr>
        <w:tc>
          <w:tcPr>
            <w:tcW w:w="3913" w:type="dxa"/>
            <w:tcBorders>
              <w:top w:val="nil"/>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Výdaje (tř. 5</w:t>
            </w:r>
            <w:r>
              <w:rPr>
                <w:color w:val="000000"/>
                <w:sz w:val="26"/>
                <w:szCs w:val="26"/>
              </w:rPr>
              <w:t xml:space="preserve"> </w:t>
            </w:r>
            <w:r w:rsidRPr="00AF26AF">
              <w:rPr>
                <w:color w:val="000000"/>
                <w:sz w:val="26"/>
                <w:szCs w:val="26"/>
              </w:rPr>
              <w:t>-</w:t>
            </w:r>
            <w:r>
              <w:rPr>
                <w:color w:val="000000"/>
                <w:sz w:val="26"/>
                <w:szCs w:val="26"/>
              </w:rPr>
              <w:t xml:space="preserve"> </w:t>
            </w:r>
            <w:r w:rsidRPr="00AF26AF">
              <w:rPr>
                <w:color w:val="000000"/>
                <w:sz w:val="26"/>
                <w:szCs w:val="26"/>
              </w:rPr>
              <w:t>6)</w:t>
            </w:r>
          </w:p>
        </w:tc>
        <w:tc>
          <w:tcPr>
            <w:tcW w:w="1418" w:type="dxa"/>
            <w:tcBorders>
              <w:top w:val="nil"/>
              <w:left w:val="nil"/>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20</w:t>
            </w:r>
            <w:r>
              <w:rPr>
                <w:color w:val="000000"/>
                <w:sz w:val="26"/>
                <w:szCs w:val="26"/>
              </w:rPr>
              <w:t xml:space="preserve"> 000</w:t>
            </w:r>
          </w:p>
        </w:tc>
      </w:tr>
      <w:tr w:rsidR="00E0096A" w:rsidRPr="00AF26AF" w:rsidTr="00A01625">
        <w:trPr>
          <w:trHeight w:val="300"/>
        </w:trPr>
        <w:tc>
          <w:tcPr>
            <w:tcW w:w="3913" w:type="dxa"/>
            <w:tcBorders>
              <w:top w:val="nil"/>
              <w:left w:val="single" w:sz="4" w:space="0" w:color="auto"/>
              <w:bottom w:val="nil"/>
              <w:right w:val="single" w:sz="4" w:space="0" w:color="auto"/>
            </w:tcBorders>
            <w:shd w:val="clear" w:color="auto" w:fill="auto"/>
            <w:noWrap/>
            <w:vAlign w:val="center"/>
            <w:hideMark/>
          </w:tcPr>
          <w:p w:rsidR="00E0096A" w:rsidRPr="00AF26AF" w:rsidRDefault="00E0096A" w:rsidP="00A01625">
            <w:pPr>
              <w:spacing w:after="0" w:line="240" w:lineRule="auto"/>
              <w:rPr>
                <w:b/>
                <w:color w:val="000000"/>
                <w:sz w:val="26"/>
                <w:szCs w:val="26"/>
              </w:rPr>
            </w:pPr>
            <w:r w:rsidRPr="00AF26AF">
              <w:rPr>
                <w:b/>
                <w:color w:val="000000"/>
                <w:sz w:val="26"/>
                <w:szCs w:val="26"/>
              </w:rPr>
              <w:t>Saldo</w:t>
            </w:r>
          </w:p>
        </w:tc>
        <w:tc>
          <w:tcPr>
            <w:tcW w:w="1418" w:type="dxa"/>
            <w:tcBorders>
              <w:top w:val="nil"/>
              <w:left w:val="nil"/>
              <w:bottom w:val="nil"/>
              <w:right w:val="single" w:sz="4" w:space="0" w:color="auto"/>
            </w:tcBorders>
            <w:shd w:val="clear" w:color="auto" w:fill="auto"/>
            <w:noWrap/>
            <w:vAlign w:val="center"/>
            <w:hideMark/>
          </w:tcPr>
          <w:p w:rsidR="00E0096A" w:rsidRPr="00EA5B32" w:rsidRDefault="00E0096A" w:rsidP="00A01625">
            <w:pPr>
              <w:spacing w:after="0" w:line="240" w:lineRule="auto"/>
              <w:jc w:val="right"/>
              <w:rPr>
                <w:b/>
                <w:color w:val="000000"/>
                <w:sz w:val="26"/>
                <w:szCs w:val="26"/>
              </w:rPr>
            </w:pPr>
            <w:r w:rsidRPr="00EA5B32">
              <w:rPr>
                <w:b/>
                <w:color w:val="000000"/>
                <w:sz w:val="26"/>
                <w:szCs w:val="26"/>
              </w:rPr>
              <w:t>-2 000</w:t>
            </w:r>
          </w:p>
        </w:tc>
      </w:tr>
      <w:tr w:rsidR="00E0096A" w:rsidRPr="00AF26AF" w:rsidTr="00A01625">
        <w:trPr>
          <w:trHeight w:val="300"/>
        </w:trPr>
        <w:tc>
          <w:tcPr>
            <w:tcW w:w="3913" w:type="dxa"/>
            <w:tcBorders>
              <w:top w:val="nil"/>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Financování (tř. 8)</w:t>
            </w:r>
          </w:p>
        </w:tc>
        <w:tc>
          <w:tcPr>
            <w:tcW w:w="1418" w:type="dxa"/>
            <w:tcBorders>
              <w:top w:val="nil"/>
              <w:left w:val="nil"/>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2</w:t>
            </w:r>
            <w:r>
              <w:rPr>
                <w:color w:val="000000"/>
                <w:sz w:val="26"/>
                <w:szCs w:val="26"/>
              </w:rPr>
              <w:t xml:space="preserve"> 000</w:t>
            </w:r>
          </w:p>
        </w:tc>
      </w:tr>
      <w:tr w:rsidR="00E0096A" w:rsidRPr="00AF26AF" w:rsidTr="00A01625">
        <w:trPr>
          <w:trHeight w:val="300"/>
        </w:trPr>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096A" w:rsidRPr="00AF26AF" w:rsidRDefault="00E0096A" w:rsidP="00A01625">
            <w:pPr>
              <w:spacing w:after="0" w:line="240" w:lineRule="auto"/>
              <w:rPr>
                <w:color w:val="000000"/>
                <w:sz w:val="26"/>
                <w:szCs w:val="26"/>
              </w:rPr>
            </w:pPr>
            <w:r w:rsidRPr="00AF26AF">
              <w:rPr>
                <w:color w:val="000000"/>
                <w:sz w:val="26"/>
                <w:szCs w:val="26"/>
              </w:rPr>
              <w:t xml:space="preserve">Součet salda a </w:t>
            </w:r>
            <w:r>
              <w:rPr>
                <w:color w:val="000000"/>
                <w:sz w:val="26"/>
                <w:szCs w:val="26"/>
              </w:rPr>
              <w:t>financování</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0096A" w:rsidRPr="00AF26AF" w:rsidRDefault="00E0096A" w:rsidP="00A01625">
            <w:pPr>
              <w:spacing w:after="0" w:line="240" w:lineRule="auto"/>
              <w:jc w:val="right"/>
              <w:rPr>
                <w:color w:val="000000"/>
                <w:sz w:val="26"/>
                <w:szCs w:val="26"/>
              </w:rPr>
            </w:pPr>
            <w:r w:rsidRPr="00AF26AF">
              <w:rPr>
                <w:color w:val="000000"/>
                <w:sz w:val="26"/>
                <w:szCs w:val="26"/>
              </w:rPr>
              <w:t>0</w:t>
            </w:r>
          </w:p>
        </w:tc>
      </w:tr>
    </w:tbl>
    <w:p w:rsidR="00E0096A" w:rsidRPr="00AF26AF" w:rsidRDefault="00E0096A" w:rsidP="00E0096A">
      <w:pPr>
        <w:spacing w:before="240" w:after="120"/>
        <w:jc w:val="both"/>
        <w:rPr>
          <w:i/>
          <w:sz w:val="26"/>
          <w:szCs w:val="26"/>
        </w:rPr>
      </w:pPr>
      <w:r w:rsidRPr="00AF26AF">
        <w:rPr>
          <w:i/>
          <w:sz w:val="26"/>
          <w:szCs w:val="26"/>
        </w:rPr>
        <w:t xml:space="preserve">Varianta 3 – vyrovnaný rozpočet </w:t>
      </w:r>
      <w:r>
        <w:rPr>
          <w:i/>
          <w:sz w:val="26"/>
          <w:szCs w:val="26"/>
        </w:rPr>
        <w:t>(tis. Kč)</w:t>
      </w:r>
    </w:p>
    <w:tbl>
      <w:tblPr>
        <w:tblpPr w:leftFromText="141" w:rightFromText="141" w:vertAnchor="text" w:tblpY="1"/>
        <w:tblOverlap w:val="never"/>
        <w:tblW w:w="5382" w:type="dxa"/>
        <w:tblCellMar>
          <w:left w:w="70" w:type="dxa"/>
          <w:right w:w="70" w:type="dxa"/>
        </w:tblCellMar>
        <w:tblLook w:val="04A0" w:firstRow="1" w:lastRow="0" w:firstColumn="1" w:lastColumn="0" w:noHBand="0" w:noVBand="1"/>
      </w:tblPr>
      <w:tblGrid>
        <w:gridCol w:w="3964"/>
        <w:gridCol w:w="1418"/>
      </w:tblGrid>
      <w:tr w:rsidR="00E0096A" w:rsidRPr="00AF26AF" w:rsidTr="00A01625">
        <w:trPr>
          <w:trHeight w:val="300"/>
        </w:trPr>
        <w:tc>
          <w:tcPr>
            <w:tcW w:w="3964" w:type="dxa"/>
            <w:tcBorders>
              <w:top w:val="single" w:sz="4" w:space="0" w:color="auto"/>
              <w:left w:val="single" w:sz="4" w:space="0" w:color="auto"/>
              <w:bottom w:val="nil"/>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Příjmy (tř. 1-4)</w:t>
            </w:r>
          </w:p>
        </w:tc>
        <w:tc>
          <w:tcPr>
            <w:tcW w:w="1418" w:type="dxa"/>
            <w:tcBorders>
              <w:top w:val="single" w:sz="4" w:space="0" w:color="auto"/>
              <w:left w:val="nil"/>
              <w:bottom w:val="nil"/>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20</w:t>
            </w:r>
            <w:r>
              <w:rPr>
                <w:color w:val="000000"/>
                <w:sz w:val="26"/>
                <w:szCs w:val="26"/>
              </w:rPr>
              <w:t xml:space="preserve"> 000</w:t>
            </w:r>
          </w:p>
        </w:tc>
      </w:tr>
      <w:tr w:rsidR="00E0096A" w:rsidRPr="00AF26AF" w:rsidTr="00A0162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Výdaje (tř. 5-6)</w:t>
            </w:r>
          </w:p>
        </w:tc>
        <w:tc>
          <w:tcPr>
            <w:tcW w:w="1418" w:type="dxa"/>
            <w:tcBorders>
              <w:top w:val="nil"/>
              <w:left w:val="nil"/>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20</w:t>
            </w:r>
            <w:r>
              <w:rPr>
                <w:color w:val="000000"/>
                <w:sz w:val="26"/>
                <w:szCs w:val="26"/>
              </w:rPr>
              <w:t> 000</w:t>
            </w:r>
          </w:p>
        </w:tc>
      </w:tr>
      <w:tr w:rsidR="00E0096A" w:rsidRPr="00AF26AF" w:rsidTr="00A01625">
        <w:trPr>
          <w:trHeight w:val="300"/>
        </w:trPr>
        <w:tc>
          <w:tcPr>
            <w:tcW w:w="3964" w:type="dxa"/>
            <w:tcBorders>
              <w:top w:val="nil"/>
              <w:left w:val="single" w:sz="4" w:space="0" w:color="auto"/>
              <w:bottom w:val="nil"/>
              <w:right w:val="single" w:sz="4" w:space="0" w:color="auto"/>
            </w:tcBorders>
            <w:shd w:val="clear" w:color="auto" w:fill="auto"/>
            <w:noWrap/>
            <w:vAlign w:val="center"/>
            <w:hideMark/>
          </w:tcPr>
          <w:p w:rsidR="00E0096A" w:rsidRPr="00AF26AF" w:rsidRDefault="00E0096A" w:rsidP="00A01625">
            <w:pPr>
              <w:spacing w:after="0" w:line="240" w:lineRule="auto"/>
              <w:rPr>
                <w:b/>
                <w:color w:val="000000"/>
                <w:sz w:val="26"/>
                <w:szCs w:val="26"/>
              </w:rPr>
            </w:pPr>
            <w:r w:rsidRPr="00AF26AF">
              <w:rPr>
                <w:b/>
                <w:color w:val="000000"/>
                <w:sz w:val="26"/>
                <w:szCs w:val="26"/>
              </w:rPr>
              <w:lastRenderedPageBreak/>
              <w:t>Saldo</w:t>
            </w:r>
          </w:p>
        </w:tc>
        <w:tc>
          <w:tcPr>
            <w:tcW w:w="1418" w:type="dxa"/>
            <w:tcBorders>
              <w:top w:val="nil"/>
              <w:left w:val="nil"/>
              <w:bottom w:val="nil"/>
              <w:right w:val="single" w:sz="4" w:space="0" w:color="auto"/>
            </w:tcBorders>
            <w:shd w:val="clear" w:color="auto" w:fill="auto"/>
            <w:noWrap/>
            <w:vAlign w:val="center"/>
            <w:hideMark/>
          </w:tcPr>
          <w:p w:rsidR="00E0096A" w:rsidRPr="00AF26AF" w:rsidRDefault="00E0096A" w:rsidP="00A01625">
            <w:pPr>
              <w:spacing w:after="0" w:line="240" w:lineRule="auto"/>
              <w:jc w:val="right"/>
              <w:rPr>
                <w:b/>
                <w:color w:val="000000"/>
                <w:sz w:val="26"/>
                <w:szCs w:val="26"/>
              </w:rPr>
            </w:pPr>
            <w:r w:rsidRPr="00AF26AF">
              <w:rPr>
                <w:b/>
                <w:color w:val="000000"/>
                <w:sz w:val="26"/>
                <w:szCs w:val="26"/>
              </w:rPr>
              <w:t>0</w:t>
            </w:r>
          </w:p>
        </w:tc>
      </w:tr>
      <w:tr w:rsidR="00E0096A" w:rsidRPr="00AF26AF" w:rsidTr="00A0162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Financování (tř. 8)</w:t>
            </w:r>
          </w:p>
        </w:tc>
        <w:tc>
          <w:tcPr>
            <w:tcW w:w="1418" w:type="dxa"/>
            <w:tcBorders>
              <w:top w:val="nil"/>
              <w:left w:val="nil"/>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0</w:t>
            </w:r>
          </w:p>
        </w:tc>
      </w:tr>
      <w:tr w:rsidR="00E0096A" w:rsidRPr="00AF26AF" w:rsidTr="00A01625">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rPr>
                <w:color w:val="000000"/>
                <w:sz w:val="26"/>
                <w:szCs w:val="26"/>
              </w:rPr>
            </w:pPr>
            <w:r w:rsidRPr="00AF26AF">
              <w:rPr>
                <w:color w:val="000000"/>
                <w:sz w:val="26"/>
                <w:szCs w:val="26"/>
              </w:rPr>
              <w:t xml:space="preserve">Součet salda a </w:t>
            </w:r>
            <w:r>
              <w:rPr>
                <w:color w:val="000000"/>
                <w:sz w:val="26"/>
                <w:szCs w:val="26"/>
              </w:rPr>
              <w:t>financování</w:t>
            </w:r>
          </w:p>
        </w:tc>
        <w:tc>
          <w:tcPr>
            <w:tcW w:w="1418" w:type="dxa"/>
            <w:tcBorders>
              <w:top w:val="nil"/>
              <w:left w:val="nil"/>
              <w:bottom w:val="single" w:sz="4" w:space="0" w:color="auto"/>
              <w:right w:val="single" w:sz="4" w:space="0" w:color="auto"/>
            </w:tcBorders>
            <w:shd w:val="clear" w:color="auto" w:fill="auto"/>
            <w:noWrap/>
            <w:vAlign w:val="center"/>
            <w:hideMark/>
          </w:tcPr>
          <w:p w:rsidR="00E0096A" w:rsidRPr="00AF26AF" w:rsidRDefault="00E0096A" w:rsidP="00A01625">
            <w:pPr>
              <w:spacing w:after="0" w:line="240" w:lineRule="auto"/>
              <w:jc w:val="right"/>
              <w:rPr>
                <w:color w:val="000000"/>
                <w:sz w:val="26"/>
                <w:szCs w:val="26"/>
              </w:rPr>
            </w:pPr>
            <w:r w:rsidRPr="00AF26AF">
              <w:rPr>
                <w:color w:val="000000"/>
                <w:sz w:val="26"/>
                <w:szCs w:val="26"/>
              </w:rPr>
              <w:t>0</w:t>
            </w:r>
          </w:p>
        </w:tc>
      </w:tr>
    </w:tbl>
    <w:p w:rsidR="00E0096A" w:rsidRPr="00AF26AF" w:rsidRDefault="00E0096A" w:rsidP="00E0096A">
      <w:pPr>
        <w:spacing w:line="240" w:lineRule="auto"/>
        <w:jc w:val="both"/>
        <w:rPr>
          <w:sz w:val="26"/>
          <w:szCs w:val="26"/>
        </w:rPr>
      </w:pPr>
    </w:p>
    <w:p w:rsidR="00E0096A" w:rsidRPr="00AF26AF" w:rsidRDefault="00E0096A" w:rsidP="00E0096A">
      <w:pPr>
        <w:spacing w:line="240" w:lineRule="auto"/>
        <w:jc w:val="both"/>
        <w:rPr>
          <w:sz w:val="26"/>
          <w:szCs w:val="26"/>
        </w:rPr>
      </w:pPr>
    </w:p>
    <w:p w:rsidR="00E0096A" w:rsidRPr="00AF26AF" w:rsidRDefault="00E0096A" w:rsidP="00E0096A">
      <w:pPr>
        <w:spacing w:line="240" w:lineRule="auto"/>
        <w:jc w:val="both"/>
        <w:rPr>
          <w:sz w:val="26"/>
          <w:szCs w:val="26"/>
        </w:rPr>
      </w:pPr>
    </w:p>
    <w:p w:rsidR="00E0096A" w:rsidRDefault="00E0096A" w:rsidP="00E0096A">
      <w:pPr>
        <w:spacing w:line="240" w:lineRule="auto"/>
        <w:jc w:val="both"/>
        <w:rPr>
          <w:sz w:val="26"/>
          <w:szCs w:val="26"/>
        </w:rPr>
      </w:pPr>
    </w:p>
    <w:p w:rsidR="00E0096A" w:rsidRPr="00AF26AF" w:rsidRDefault="00E0096A" w:rsidP="00E0096A">
      <w:pPr>
        <w:spacing w:line="240" w:lineRule="auto"/>
        <w:jc w:val="both"/>
        <w:rPr>
          <w:sz w:val="26"/>
          <w:szCs w:val="26"/>
        </w:rPr>
      </w:pPr>
      <w:r w:rsidRPr="00AF26AF">
        <w:rPr>
          <w:sz w:val="26"/>
          <w:szCs w:val="26"/>
        </w:rPr>
        <w:t xml:space="preserve">Součet salda </w:t>
      </w:r>
      <w:r>
        <w:rPr>
          <w:sz w:val="26"/>
          <w:szCs w:val="26"/>
        </w:rPr>
        <w:t xml:space="preserve">(rozdílu mezi </w:t>
      </w:r>
      <w:r w:rsidRPr="00AF26AF">
        <w:rPr>
          <w:sz w:val="26"/>
          <w:szCs w:val="26"/>
        </w:rPr>
        <w:t>příjm</w:t>
      </w:r>
      <w:r>
        <w:rPr>
          <w:sz w:val="26"/>
          <w:szCs w:val="26"/>
        </w:rPr>
        <w:t>y</w:t>
      </w:r>
      <w:r w:rsidRPr="00AF26AF">
        <w:rPr>
          <w:sz w:val="26"/>
          <w:szCs w:val="26"/>
        </w:rPr>
        <w:t xml:space="preserve"> a výdaj</w:t>
      </w:r>
      <w:r>
        <w:rPr>
          <w:sz w:val="26"/>
          <w:szCs w:val="26"/>
        </w:rPr>
        <w:t>i)</w:t>
      </w:r>
      <w:r w:rsidRPr="00AF26AF">
        <w:rPr>
          <w:sz w:val="26"/>
          <w:szCs w:val="26"/>
        </w:rPr>
        <w:t xml:space="preserve"> a financování je vždy roven 0</w:t>
      </w:r>
      <w:r>
        <w:rPr>
          <w:sz w:val="26"/>
          <w:szCs w:val="26"/>
        </w:rPr>
        <w:t>, to ale nemá na klasifikaci rozpočtu žádný vliv.</w:t>
      </w:r>
      <w:r w:rsidRPr="00AF26AF">
        <w:rPr>
          <w:sz w:val="26"/>
          <w:szCs w:val="26"/>
        </w:rPr>
        <w:t xml:space="preserve"> P</w:t>
      </w:r>
      <w:r>
        <w:rPr>
          <w:sz w:val="26"/>
          <w:szCs w:val="26"/>
        </w:rPr>
        <w:t>ro</w:t>
      </w:r>
      <w:r w:rsidRPr="00AF26AF">
        <w:rPr>
          <w:sz w:val="26"/>
          <w:szCs w:val="26"/>
        </w:rPr>
        <w:t xml:space="preserve"> </w:t>
      </w:r>
      <w:r>
        <w:rPr>
          <w:sz w:val="26"/>
          <w:szCs w:val="26"/>
        </w:rPr>
        <w:t>určení</w:t>
      </w:r>
      <w:r w:rsidRPr="00AF26AF">
        <w:rPr>
          <w:sz w:val="26"/>
          <w:szCs w:val="26"/>
        </w:rPr>
        <w:t xml:space="preserve">, zda je rozpočet </w:t>
      </w:r>
      <w:r w:rsidRPr="00AF26AF">
        <w:rPr>
          <w:i/>
          <w:sz w:val="26"/>
          <w:szCs w:val="26"/>
        </w:rPr>
        <w:t>přebytkový</w:t>
      </w:r>
      <w:r w:rsidRPr="00AF26AF">
        <w:rPr>
          <w:sz w:val="26"/>
          <w:szCs w:val="26"/>
        </w:rPr>
        <w:t xml:space="preserve">, </w:t>
      </w:r>
      <w:r w:rsidRPr="00AF26AF">
        <w:rPr>
          <w:i/>
          <w:sz w:val="26"/>
          <w:szCs w:val="26"/>
        </w:rPr>
        <w:t>schodkový</w:t>
      </w:r>
      <w:r w:rsidRPr="00AF26AF">
        <w:rPr>
          <w:sz w:val="26"/>
          <w:szCs w:val="26"/>
        </w:rPr>
        <w:t xml:space="preserve"> nebo </w:t>
      </w:r>
      <w:r w:rsidRPr="00AF26AF">
        <w:rPr>
          <w:i/>
          <w:sz w:val="26"/>
          <w:szCs w:val="26"/>
        </w:rPr>
        <w:t>vyrovnaný</w:t>
      </w:r>
      <w:r w:rsidRPr="00AF26AF">
        <w:rPr>
          <w:sz w:val="26"/>
          <w:szCs w:val="26"/>
        </w:rPr>
        <w:t xml:space="preserve">, se porovnávají pouze </w:t>
      </w:r>
      <w:r w:rsidRPr="008F5DAD">
        <w:rPr>
          <w:sz w:val="26"/>
          <w:szCs w:val="26"/>
        </w:rPr>
        <w:t xml:space="preserve">příjmy a výdaje </w:t>
      </w:r>
      <w:r>
        <w:rPr>
          <w:sz w:val="26"/>
          <w:szCs w:val="26"/>
        </w:rPr>
        <w:t xml:space="preserve">realizované během jednoho </w:t>
      </w:r>
      <w:r w:rsidRPr="008F5DAD">
        <w:rPr>
          <w:sz w:val="26"/>
          <w:szCs w:val="26"/>
        </w:rPr>
        <w:t>roku</w:t>
      </w:r>
      <w:r>
        <w:rPr>
          <w:sz w:val="26"/>
          <w:szCs w:val="26"/>
        </w:rPr>
        <w:t xml:space="preserve">. </w:t>
      </w:r>
    </w:p>
    <w:p w:rsidR="00E0096A" w:rsidRPr="00AF26AF" w:rsidRDefault="00E0096A" w:rsidP="00E0096A">
      <w:pPr>
        <w:spacing w:after="120" w:line="240" w:lineRule="auto"/>
        <w:jc w:val="both"/>
        <w:rPr>
          <w:sz w:val="26"/>
          <w:szCs w:val="26"/>
        </w:rPr>
      </w:pPr>
      <w:r w:rsidRPr="00AF26AF">
        <w:rPr>
          <w:sz w:val="26"/>
          <w:szCs w:val="26"/>
        </w:rPr>
        <w:t>Přebytkový rozpočet = příjmy</w:t>
      </w:r>
      <w:r>
        <w:rPr>
          <w:sz w:val="26"/>
          <w:szCs w:val="26"/>
        </w:rPr>
        <w:t xml:space="preserve"> rozpočtu </w:t>
      </w:r>
      <w:r w:rsidRPr="00AF26AF">
        <w:rPr>
          <w:sz w:val="26"/>
          <w:szCs w:val="26"/>
        </w:rPr>
        <w:t xml:space="preserve">jsou větší než </w:t>
      </w:r>
      <w:r>
        <w:rPr>
          <w:sz w:val="26"/>
          <w:szCs w:val="26"/>
        </w:rPr>
        <w:t xml:space="preserve">jeho </w:t>
      </w:r>
      <w:r w:rsidRPr="00AF26AF">
        <w:rPr>
          <w:sz w:val="26"/>
          <w:szCs w:val="26"/>
        </w:rPr>
        <w:t xml:space="preserve">výdaje. </w:t>
      </w:r>
    </w:p>
    <w:p w:rsidR="00E0096A" w:rsidRPr="00AF26AF" w:rsidRDefault="00E0096A" w:rsidP="00E0096A">
      <w:pPr>
        <w:spacing w:after="120" w:line="240" w:lineRule="auto"/>
        <w:jc w:val="both"/>
        <w:rPr>
          <w:sz w:val="26"/>
          <w:szCs w:val="26"/>
        </w:rPr>
      </w:pPr>
      <w:r w:rsidRPr="00AF26AF">
        <w:rPr>
          <w:sz w:val="26"/>
          <w:szCs w:val="26"/>
        </w:rPr>
        <w:t>Schodkový rozpočet = příjmy</w:t>
      </w:r>
      <w:r>
        <w:rPr>
          <w:sz w:val="26"/>
          <w:szCs w:val="26"/>
        </w:rPr>
        <w:t xml:space="preserve"> rozpočtu </w:t>
      </w:r>
      <w:r w:rsidRPr="00AF26AF">
        <w:rPr>
          <w:sz w:val="26"/>
          <w:szCs w:val="26"/>
        </w:rPr>
        <w:t xml:space="preserve">jsou </w:t>
      </w:r>
      <w:r>
        <w:rPr>
          <w:sz w:val="26"/>
          <w:szCs w:val="26"/>
        </w:rPr>
        <w:t>menší</w:t>
      </w:r>
      <w:r w:rsidRPr="00AF26AF">
        <w:rPr>
          <w:sz w:val="26"/>
          <w:szCs w:val="26"/>
        </w:rPr>
        <w:t xml:space="preserve"> než </w:t>
      </w:r>
      <w:r>
        <w:rPr>
          <w:sz w:val="26"/>
          <w:szCs w:val="26"/>
        </w:rPr>
        <w:t xml:space="preserve">jeho </w:t>
      </w:r>
      <w:r w:rsidRPr="00AF26AF">
        <w:rPr>
          <w:sz w:val="26"/>
          <w:szCs w:val="26"/>
        </w:rPr>
        <w:t xml:space="preserve">výdaje. </w:t>
      </w:r>
    </w:p>
    <w:p w:rsidR="00E0096A" w:rsidRDefault="00E0096A" w:rsidP="00E0096A">
      <w:pPr>
        <w:spacing w:after="120" w:line="240" w:lineRule="auto"/>
        <w:jc w:val="both"/>
        <w:rPr>
          <w:sz w:val="26"/>
          <w:szCs w:val="26"/>
        </w:rPr>
      </w:pPr>
      <w:r>
        <w:rPr>
          <w:sz w:val="26"/>
          <w:szCs w:val="26"/>
        </w:rPr>
        <w:t xml:space="preserve">Vyrovnaný rozpočet = </w:t>
      </w:r>
      <w:r w:rsidRPr="00AF26AF">
        <w:rPr>
          <w:sz w:val="26"/>
          <w:szCs w:val="26"/>
        </w:rPr>
        <w:t xml:space="preserve">příjmy </w:t>
      </w:r>
      <w:r>
        <w:rPr>
          <w:sz w:val="26"/>
          <w:szCs w:val="26"/>
        </w:rPr>
        <w:t>a výdaje rozpočtu jsou ve stejné výši.</w:t>
      </w:r>
      <w:r w:rsidRPr="00AF26AF">
        <w:rPr>
          <w:sz w:val="26"/>
          <w:szCs w:val="26"/>
        </w:rPr>
        <w:t xml:space="preserve"> </w:t>
      </w:r>
    </w:p>
    <w:p w:rsidR="00E0096A" w:rsidRPr="00AF26AF" w:rsidRDefault="00E0096A" w:rsidP="00E0096A">
      <w:pPr>
        <w:spacing w:line="240" w:lineRule="auto"/>
        <w:jc w:val="both"/>
        <w:rPr>
          <w:sz w:val="26"/>
          <w:szCs w:val="26"/>
        </w:rPr>
      </w:pPr>
      <w:r>
        <w:rPr>
          <w:sz w:val="26"/>
          <w:szCs w:val="26"/>
        </w:rPr>
        <w:t>Třída 8 (f</w:t>
      </w:r>
      <w:r w:rsidRPr="00AF26AF">
        <w:rPr>
          <w:sz w:val="26"/>
          <w:szCs w:val="26"/>
        </w:rPr>
        <w:t>inancování</w:t>
      </w:r>
      <w:r>
        <w:rPr>
          <w:sz w:val="26"/>
          <w:szCs w:val="26"/>
        </w:rPr>
        <w:t>)</w:t>
      </w:r>
      <w:r w:rsidRPr="00AF26AF">
        <w:rPr>
          <w:sz w:val="26"/>
          <w:szCs w:val="26"/>
        </w:rPr>
        <w:t xml:space="preserve"> do této klasifikace nevstupuje</w:t>
      </w:r>
      <w:r>
        <w:rPr>
          <w:sz w:val="26"/>
          <w:szCs w:val="26"/>
        </w:rPr>
        <w:t xml:space="preserve">; úlohou financování je rozdíl mezi příjmy a výdaji </w:t>
      </w:r>
      <w:r w:rsidR="00AB33EC">
        <w:rPr>
          <w:sz w:val="26"/>
          <w:szCs w:val="26"/>
        </w:rPr>
        <w:t>vyrovnat prostředky z jiných let.</w:t>
      </w:r>
      <w:r>
        <w:rPr>
          <w:sz w:val="26"/>
          <w:szCs w:val="26"/>
        </w:rPr>
        <w:t xml:space="preserve"> F</w:t>
      </w:r>
      <w:r w:rsidRPr="00AF26AF">
        <w:rPr>
          <w:sz w:val="26"/>
          <w:szCs w:val="26"/>
        </w:rPr>
        <w:t>inancování vyjadřuje, jakým způsobem je:</w:t>
      </w:r>
    </w:p>
    <w:p w:rsidR="00E0096A" w:rsidRPr="00E504FE" w:rsidRDefault="00E0096A" w:rsidP="00AB33EC">
      <w:pPr>
        <w:pStyle w:val="Odstavecseseznamem"/>
        <w:numPr>
          <w:ilvl w:val="0"/>
          <w:numId w:val="3"/>
        </w:numPr>
        <w:spacing w:after="120" w:line="240" w:lineRule="auto"/>
        <w:ind w:left="0" w:firstLine="284"/>
        <w:contextualSpacing w:val="0"/>
        <w:jc w:val="both"/>
        <w:rPr>
          <w:sz w:val="26"/>
          <w:szCs w:val="26"/>
        </w:rPr>
      </w:pPr>
      <w:r w:rsidRPr="00C3418A">
        <w:rPr>
          <w:b/>
          <w:sz w:val="26"/>
          <w:szCs w:val="26"/>
        </w:rPr>
        <w:t>naloženo s přebytkem</w:t>
      </w:r>
      <w:r w:rsidRPr="00AF26AF">
        <w:rPr>
          <w:sz w:val="26"/>
          <w:szCs w:val="26"/>
        </w:rPr>
        <w:t xml:space="preserve"> u přebytkového rozpočtu</w:t>
      </w:r>
      <w:r>
        <w:rPr>
          <w:sz w:val="26"/>
          <w:szCs w:val="26"/>
        </w:rPr>
        <w:t xml:space="preserve"> (celkové financování je záporné)</w:t>
      </w:r>
      <w:r w:rsidRPr="00AF26AF">
        <w:rPr>
          <w:sz w:val="26"/>
          <w:szCs w:val="26"/>
        </w:rPr>
        <w:t>. Uživatel rozpočtu z financování získá informaci, zda prostředky tvořící přebytek</w:t>
      </w:r>
      <w:r>
        <w:rPr>
          <w:sz w:val="26"/>
          <w:szCs w:val="26"/>
        </w:rPr>
        <w:t xml:space="preserve"> </w:t>
      </w:r>
      <w:r w:rsidRPr="00AF26AF">
        <w:rPr>
          <w:sz w:val="26"/>
          <w:szCs w:val="26"/>
        </w:rPr>
        <w:t xml:space="preserve">zůstaly na účtech obce (k použití v dalších letech), zda byly investovány za účelem jejich zhodnocení nebo zda jimi byla </w:t>
      </w:r>
      <w:r>
        <w:rPr>
          <w:sz w:val="26"/>
          <w:szCs w:val="26"/>
        </w:rPr>
        <w:t>např. u</w:t>
      </w:r>
      <w:r w:rsidRPr="00AF26AF">
        <w:rPr>
          <w:sz w:val="26"/>
          <w:szCs w:val="26"/>
        </w:rPr>
        <w:t xml:space="preserve">hrazena </w:t>
      </w:r>
      <w:r>
        <w:rPr>
          <w:sz w:val="26"/>
          <w:szCs w:val="26"/>
        </w:rPr>
        <w:t xml:space="preserve">splátka </w:t>
      </w:r>
      <w:r w:rsidRPr="00AF26AF">
        <w:rPr>
          <w:sz w:val="26"/>
          <w:szCs w:val="26"/>
        </w:rPr>
        <w:t>jistin</w:t>
      </w:r>
      <w:r>
        <w:rPr>
          <w:sz w:val="26"/>
          <w:szCs w:val="26"/>
        </w:rPr>
        <w:t>y</w:t>
      </w:r>
      <w:r w:rsidRPr="00AF26AF">
        <w:rPr>
          <w:sz w:val="26"/>
          <w:szCs w:val="26"/>
        </w:rPr>
        <w:t xml:space="preserve"> úvěru čerpaného v minulých letech. </w:t>
      </w:r>
    </w:p>
    <w:p w:rsidR="00E0096A" w:rsidRPr="00D972DA" w:rsidRDefault="00E0096A" w:rsidP="00AB33EC">
      <w:pPr>
        <w:pStyle w:val="Odstavecseseznamem"/>
        <w:numPr>
          <w:ilvl w:val="0"/>
          <w:numId w:val="3"/>
        </w:numPr>
        <w:spacing w:after="120" w:line="240" w:lineRule="auto"/>
        <w:ind w:left="0" w:firstLine="284"/>
        <w:contextualSpacing w:val="0"/>
        <w:jc w:val="both"/>
        <w:rPr>
          <w:sz w:val="26"/>
          <w:szCs w:val="26"/>
        </w:rPr>
      </w:pPr>
      <w:r w:rsidRPr="00D972DA">
        <w:rPr>
          <w:b/>
          <w:sz w:val="26"/>
          <w:szCs w:val="26"/>
        </w:rPr>
        <w:t>kryt schodek</w:t>
      </w:r>
      <w:r w:rsidRPr="00D972DA">
        <w:rPr>
          <w:sz w:val="26"/>
          <w:szCs w:val="26"/>
        </w:rPr>
        <w:t xml:space="preserve"> u schodkového rozpočtu</w:t>
      </w:r>
      <w:r>
        <w:rPr>
          <w:sz w:val="26"/>
          <w:szCs w:val="26"/>
        </w:rPr>
        <w:t xml:space="preserve"> (celkové financování je kladné)</w:t>
      </w:r>
      <w:r w:rsidRPr="00D972DA">
        <w:rPr>
          <w:sz w:val="26"/>
          <w:szCs w:val="26"/>
        </w:rPr>
        <w:t xml:space="preserve">. Uživatel rozpočtu z financování získá informaci, zda schodek rozpočtu je kryt vlastními prostředky z minulých let nebo zda obec na pokrytí schodku čerpala návratné zdroje (půjčku, úvěr, návratnou finanční výpomoc či prostředky z emise a prodeje komunálních dluhopisů). </w:t>
      </w:r>
    </w:p>
    <w:p w:rsidR="00E0096A" w:rsidRDefault="00E0096A" w:rsidP="00E0096A">
      <w:pPr>
        <w:spacing w:after="120" w:line="240" w:lineRule="auto"/>
        <w:jc w:val="both"/>
        <w:rPr>
          <w:sz w:val="26"/>
          <w:szCs w:val="26"/>
        </w:rPr>
      </w:pPr>
      <w:r>
        <w:rPr>
          <w:sz w:val="26"/>
          <w:szCs w:val="26"/>
        </w:rPr>
        <w:t>P</w:t>
      </w:r>
      <w:r w:rsidRPr="00AF26AF">
        <w:rPr>
          <w:sz w:val="26"/>
          <w:szCs w:val="26"/>
        </w:rPr>
        <w:t xml:space="preserve">ojmy </w:t>
      </w:r>
      <w:r w:rsidRPr="00E275C4">
        <w:rPr>
          <w:i/>
          <w:sz w:val="26"/>
          <w:szCs w:val="26"/>
        </w:rPr>
        <w:t>přebytkový</w:t>
      </w:r>
      <w:r>
        <w:rPr>
          <w:sz w:val="26"/>
          <w:szCs w:val="26"/>
        </w:rPr>
        <w:t xml:space="preserve"> či </w:t>
      </w:r>
      <w:r w:rsidRPr="00E275C4">
        <w:rPr>
          <w:i/>
          <w:sz w:val="26"/>
          <w:szCs w:val="26"/>
        </w:rPr>
        <w:t>schodkový</w:t>
      </w:r>
      <w:r>
        <w:rPr>
          <w:sz w:val="26"/>
          <w:szCs w:val="26"/>
        </w:rPr>
        <w:t xml:space="preserve"> rozpočet mohou být bez znalosti jejich přesného významu </w:t>
      </w:r>
      <w:r w:rsidRPr="00AF26AF">
        <w:rPr>
          <w:sz w:val="26"/>
          <w:szCs w:val="26"/>
        </w:rPr>
        <w:t xml:space="preserve">poměrně zavádějící. Schodkový rozpočet nemusí znamenat (a často neznamená) „špatný“, tomuto pojmu nelze bez dalších souvislostí přiřazovat jeho obecný význam. S přebytkovým rozpočtem je to obdobné. </w:t>
      </w:r>
      <w:r>
        <w:rPr>
          <w:sz w:val="26"/>
          <w:szCs w:val="26"/>
        </w:rPr>
        <w:t>Přebytek rozpočtu automaticky neznamená, že došlo (dojde) ke zvýšení stavu peněz. Z klasifikace rozpočtu jako přebytkového či schodkového vyplývá</w:t>
      </w:r>
      <w:r w:rsidRPr="004375B0">
        <w:rPr>
          <w:sz w:val="26"/>
          <w:szCs w:val="26"/>
        </w:rPr>
        <w:t xml:space="preserve"> </w:t>
      </w:r>
      <w:r>
        <w:rPr>
          <w:sz w:val="26"/>
          <w:szCs w:val="26"/>
        </w:rPr>
        <w:t>pouze, zda příjmy daného roku jsou větší či menší než jeho výdaje.</w:t>
      </w:r>
      <w:r w:rsidRPr="00AF26AF">
        <w:rPr>
          <w:sz w:val="26"/>
          <w:szCs w:val="26"/>
        </w:rPr>
        <w:t xml:space="preserve"> </w:t>
      </w:r>
    </w:p>
    <w:p w:rsidR="00E0096A" w:rsidRPr="00C04B0A" w:rsidRDefault="00E0096A" w:rsidP="00E0096A">
      <w:pPr>
        <w:spacing w:before="120" w:after="120" w:line="240" w:lineRule="auto"/>
        <w:jc w:val="both"/>
        <w:rPr>
          <w:i/>
          <w:sz w:val="26"/>
          <w:szCs w:val="26"/>
        </w:rPr>
      </w:pPr>
      <w:r w:rsidRPr="00C04B0A">
        <w:rPr>
          <w:i/>
          <w:sz w:val="26"/>
          <w:szCs w:val="26"/>
        </w:rPr>
        <w:t>Příklad</w:t>
      </w:r>
      <w:r>
        <w:rPr>
          <w:i/>
          <w:sz w:val="26"/>
          <w:szCs w:val="26"/>
        </w:rPr>
        <w:t xml:space="preserve"> na klasifikaci rozpočtu</w:t>
      </w:r>
    </w:p>
    <w:p w:rsidR="00E0096A" w:rsidRPr="00C04B0A" w:rsidRDefault="00E0096A" w:rsidP="00E0096A">
      <w:pPr>
        <w:spacing w:after="120" w:line="240" w:lineRule="auto"/>
        <w:jc w:val="both"/>
        <w:rPr>
          <w:i/>
          <w:sz w:val="26"/>
          <w:szCs w:val="26"/>
        </w:rPr>
      </w:pPr>
      <w:r w:rsidRPr="00C04B0A">
        <w:rPr>
          <w:i/>
          <w:sz w:val="26"/>
          <w:szCs w:val="26"/>
        </w:rPr>
        <w:t>Obec v letech 201</w:t>
      </w:r>
      <w:r>
        <w:rPr>
          <w:i/>
          <w:sz w:val="26"/>
          <w:szCs w:val="26"/>
        </w:rPr>
        <w:t>3</w:t>
      </w:r>
      <w:r w:rsidRPr="00C04B0A">
        <w:rPr>
          <w:i/>
          <w:sz w:val="26"/>
          <w:szCs w:val="26"/>
        </w:rPr>
        <w:t xml:space="preserve"> – 201</w:t>
      </w:r>
      <w:r>
        <w:rPr>
          <w:i/>
          <w:sz w:val="26"/>
          <w:szCs w:val="26"/>
        </w:rPr>
        <w:t>7</w:t>
      </w:r>
      <w:r w:rsidRPr="00C04B0A">
        <w:rPr>
          <w:i/>
          <w:sz w:val="26"/>
          <w:szCs w:val="26"/>
        </w:rPr>
        <w:t xml:space="preserve"> spořila na investici, kterou plánovala realizovat v roce 201</w:t>
      </w:r>
      <w:r>
        <w:rPr>
          <w:i/>
          <w:sz w:val="26"/>
          <w:szCs w:val="26"/>
        </w:rPr>
        <w:t>8</w:t>
      </w:r>
      <w:r w:rsidRPr="00C04B0A">
        <w:rPr>
          <w:i/>
          <w:sz w:val="26"/>
          <w:szCs w:val="26"/>
        </w:rPr>
        <w:t>. V roce 201</w:t>
      </w:r>
      <w:r>
        <w:rPr>
          <w:i/>
          <w:sz w:val="26"/>
          <w:szCs w:val="26"/>
        </w:rPr>
        <w:t>8</w:t>
      </w:r>
      <w:r w:rsidRPr="00C04B0A">
        <w:rPr>
          <w:i/>
          <w:sz w:val="26"/>
          <w:szCs w:val="26"/>
        </w:rPr>
        <w:t xml:space="preserve"> zrealizovala investici za 20 mil. Kč. </w:t>
      </w:r>
      <w:r>
        <w:rPr>
          <w:i/>
          <w:sz w:val="26"/>
          <w:szCs w:val="26"/>
        </w:rPr>
        <w:t>Celkové plnění rozpočtu v letech 2013 – 2019 bylo následující (v mil. Kč):</w:t>
      </w:r>
    </w:p>
    <w:tbl>
      <w:tblPr>
        <w:tblW w:w="784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9"/>
        <w:gridCol w:w="907"/>
        <w:gridCol w:w="907"/>
        <w:gridCol w:w="907"/>
        <w:gridCol w:w="907"/>
        <w:gridCol w:w="907"/>
        <w:gridCol w:w="907"/>
        <w:gridCol w:w="907"/>
      </w:tblGrid>
      <w:tr w:rsidR="00E0096A" w:rsidRPr="007A4B26" w:rsidTr="00A01625">
        <w:trPr>
          <w:trHeight w:val="270"/>
        </w:trPr>
        <w:tc>
          <w:tcPr>
            <w:tcW w:w="1499" w:type="dxa"/>
            <w:shd w:val="clear" w:color="auto" w:fill="D9D9D9" w:themeFill="background1" w:themeFillShade="D9"/>
            <w:noWrap/>
            <w:vAlign w:val="bottom"/>
            <w:hideMark/>
          </w:tcPr>
          <w:p w:rsidR="00E0096A" w:rsidRPr="00E86A81" w:rsidRDefault="00E0096A" w:rsidP="00A01625">
            <w:pPr>
              <w:spacing w:after="0" w:line="240" w:lineRule="auto"/>
              <w:rPr>
                <w:b/>
                <w:bCs/>
                <w:color w:val="000000"/>
              </w:rPr>
            </w:pPr>
            <w:r w:rsidRPr="00E86A81">
              <w:rPr>
                <w:b/>
                <w:bCs/>
                <w:color w:val="000000"/>
              </w:rPr>
              <w:t> </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3</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4</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5</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6</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7</w:t>
            </w:r>
          </w:p>
        </w:tc>
        <w:tc>
          <w:tcPr>
            <w:tcW w:w="907" w:type="dxa"/>
            <w:shd w:val="clear" w:color="auto" w:fill="D9D9D9" w:themeFill="background1" w:themeFillShade="D9"/>
            <w:noWrap/>
            <w:vAlign w:val="bottom"/>
            <w:hideMark/>
          </w:tcPr>
          <w:p w:rsidR="00E0096A" w:rsidRPr="00E86A81" w:rsidRDefault="00E0096A" w:rsidP="00A01625">
            <w:pPr>
              <w:spacing w:after="0" w:line="240" w:lineRule="auto"/>
              <w:jc w:val="right"/>
              <w:rPr>
                <w:b/>
                <w:bCs/>
                <w:color w:val="000000"/>
              </w:rPr>
            </w:pPr>
            <w:r w:rsidRPr="00E86A81">
              <w:rPr>
                <w:b/>
                <w:bCs/>
                <w:color w:val="000000"/>
              </w:rPr>
              <w:t>201</w:t>
            </w:r>
            <w:r>
              <w:rPr>
                <w:b/>
                <w:bCs/>
                <w:color w:val="000000"/>
              </w:rPr>
              <w:t>8</w:t>
            </w:r>
          </w:p>
        </w:tc>
        <w:tc>
          <w:tcPr>
            <w:tcW w:w="907" w:type="dxa"/>
            <w:shd w:val="clear" w:color="auto" w:fill="D9D9D9" w:themeFill="background1" w:themeFillShade="D9"/>
            <w:noWrap/>
            <w:vAlign w:val="center"/>
            <w:hideMark/>
          </w:tcPr>
          <w:p w:rsidR="00E0096A" w:rsidRPr="00E86A81" w:rsidRDefault="00E0096A" w:rsidP="00A01625">
            <w:pPr>
              <w:spacing w:after="0" w:line="240" w:lineRule="auto"/>
              <w:jc w:val="right"/>
              <w:rPr>
                <w:b/>
                <w:bCs/>
                <w:color w:val="000000"/>
              </w:rPr>
            </w:pPr>
            <w:r w:rsidRPr="00E86A81">
              <w:rPr>
                <w:b/>
                <w:bCs/>
                <w:color w:val="000000"/>
              </w:rPr>
              <w:t>20</w:t>
            </w:r>
            <w:r>
              <w:rPr>
                <w:b/>
                <w:bCs/>
                <w:color w:val="000000"/>
              </w:rPr>
              <w:t>19</w:t>
            </w:r>
          </w:p>
        </w:tc>
      </w:tr>
      <w:tr w:rsidR="00E0096A" w:rsidRPr="007A4B26" w:rsidTr="00A01625">
        <w:trPr>
          <w:trHeight w:val="270"/>
        </w:trPr>
        <w:tc>
          <w:tcPr>
            <w:tcW w:w="1499"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Příjmy </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40</w:t>
            </w:r>
          </w:p>
        </w:tc>
      </w:tr>
      <w:tr w:rsidR="00E0096A" w:rsidRPr="007A4B26" w:rsidTr="00A01625">
        <w:trPr>
          <w:trHeight w:val="270"/>
        </w:trPr>
        <w:tc>
          <w:tcPr>
            <w:tcW w:w="1499"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Výdaje </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48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r>
      <w:tr w:rsidR="00E0096A" w:rsidRPr="007A4B26" w:rsidTr="00A01625">
        <w:trPr>
          <w:trHeight w:val="270"/>
        </w:trPr>
        <w:tc>
          <w:tcPr>
            <w:tcW w:w="1499"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Saldo </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-18</w:t>
            </w:r>
          </w:p>
        </w:tc>
        <w:tc>
          <w:tcPr>
            <w:tcW w:w="907"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12</w:t>
            </w:r>
          </w:p>
        </w:tc>
      </w:tr>
      <w:tr w:rsidR="00E0096A" w:rsidRPr="007A4B26" w:rsidTr="00A01625">
        <w:trPr>
          <w:trHeight w:val="270"/>
        </w:trPr>
        <w:tc>
          <w:tcPr>
            <w:tcW w:w="1499" w:type="dxa"/>
            <w:shd w:val="clear" w:color="auto" w:fill="auto"/>
            <w:noWrap/>
            <w:vAlign w:val="bottom"/>
            <w:hideMark/>
          </w:tcPr>
          <w:p w:rsidR="00E0096A" w:rsidRPr="007A4B26" w:rsidRDefault="00E0096A" w:rsidP="00A01625">
            <w:pPr>
              <w:spacing w:after="0" w:line="240" w:lineRule="auto"/>
              <w:rPr>
                <w:i/>
                <w:iCs/>
                <w:color w:val="000000"/>
              </w:rPr>
            </w:pPr>
            <w:r w:rsidRPr="007A4B26">
              <w:rPr>
                <w:i/>
                <w:iCs/>
                <w:color w:val="000000"/>
              </w:rPr>
              <w:t>ZBÚ k 31.12.</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4</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6</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8</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10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Pr>
                <w:i/>
                <w:iCs/>
                <w:color w:val="000000"/>
              </w:rPr>
              <w:t>2</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Pr>
                <w:i/>
                <w:iCs/>
                <w:color w:val="000000"/>
              </w:rPr>
              <w:t>4</w:t>
            </w:r>
          </w:p>
        </w:tc>
      </w:tr>
      <w:tr w:rsidR="00E0096A" w:rsidRPr="007A4B26" w:rsidTr="00A01625">
        <w:trPr>
          <w:trHeight w:val="270"/>
        </w:trPr>
        <w:tc>
          <w:tcPr>
            <w:tcW w:w="1499" w:type="dxa"/>
            <w:shd w:val="clear" w:color="auto" w:fill="auto"/>
            <w:noWrap/>
            <w:vAlign w:val="bottom"/>
            <w:hideMark/>
          </w:tcPr>
          <w:p w:rsidR="00E0096A" w:rsidRPr="007A4B26" w:rsidRDefault="00E0096A" w:rsidP="00A01625">
            <w:pPr>
              <w:spacing w:after="0" w:line="240" w:lineRule="auto"/>
              <w:rPr>
                <w:i/>
                <w:iCs/>
                <w:color w:val="000000"/>
              </w:rPr>
            </w:pPr>
            <w:r w:rsidRPr="007A4B26">
              <w:rPr>
                <w:i/>
                <w:iCs/>
                <w:color w:val="000000"/>
              </w:rPr>
              <w:lastRenderedPageBreak/>
              <w:t xml:space="preserve">Úvěr </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10</w:t>
            </w:r>
          </w:p>
        </w:tc>
        <w:tc>
          <w:tcPr>
            <w:tcW w:w="907"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r>
    </w:tbl>
    <w:p w:rsidR="00E0096A" w:rsidRPr="00AA0DB7" w:rsidRDefault="00E0096A" w:rsidP="00E0096A">
      <w:pPr>
        <w:spacing w:before="120" w:after="120" w:line="240" w:lineRule="auto"/>
        <w:jc w:val="both"/>
        <w:rPr>
          <w:i/>
          <w:sz w:val="26"/>
          <w:szCs w:val="26"/>
        </w:rPr>
      </w:pPr>
      <w:r w:rsidRPr="0040036B">
        <w:rPr>
          <w:i/>
        </w:rPr>
        <w:t>V </w:t>
      </w:r>
      <w:r w:rsidRPr="00AA0DB7">
        <w:rPr>
          <w:i/>
          <w:sz w:val="26"/>
          <w:szCs w:val="26"/>
        </w:rPr>
        <w:t>letech 201</w:t>
      </w:r>
      <w:r>
        <w:rPr>
          <w:i/>
          <w:sz w:val="26"/>
          <w:szCs w:val="26"/>
        </w:rPr>
        <w:t>3</w:t>
      </w:r>
      <w:r w:rsidRPr="00AA0DB7">
        <w:rPr>
          <w:i/>
          <w:sz w:val="26"/>
          <w:szCs w:val="26"/>
        </w:rPr>
        <w:t xml:space="preserve"> – 201</w:t>
      </w:r>
      <w:r>
        <w:rPr>
          <w:i/>
          <w:sz w:val="26"/>
          <w:szCs w:val="26"/>
        </w:rPr>
        <w:t>7</w:t>
      </w:r>
      <w:r w:rsidRPr="00AA0DB7">
        <w:rPr>
          <w:i/>
          <w:sz w:val="26"/>
          <w:szCs w:val="26"/>
        </w:rPr>
        <w:t xml:space="preserve"> </w:t>
      </w:r>
      <w:r>
        <w:rPr>
          <w:i/>
          <w:sz w:val="26"/>
          <w:szCs w:val="26"/>
        </w:rPr>
        <w:t>byl</w:t>
      </w:r>
      <w:r w:rsidRPr="00AA0DB7">
        <w:rPr>
          <w:i/>
          <w:sz w:val="26"/>
          <w:szCs w:val="26"/>
        </w:rPr>
        <w:t xml:space="preserve"> vytváře</w:t>
      </w:r>
      <w:r>
        <w:rPr>
          <w:i/>
          <w:sz w:val="26"/>
          <w:szCs w:val="26"/>
        </w:rPr>
        <w:t>n</w:t>
      </w:r>
      <w:r w:rsidRPr="00AA0DB7">
        <w:rPr>
          <w:i/>
          <w:sz w:val="26"/>
          <w:szCs w:val="26"/>
        </w:rPr>
        <w:t xml:space="preserve"> každoroční přebytek rozpočtu ve výši 2 mil. Kč (prostředky </w:t>
      </w:r>
      <w:r>
        <w:rPr>
          <w:i/>
          <w:sz w:val="26"/>
          <w:szCs w:val="26"/>
        </w:rPr>
        <w:t>byly</w:t>
      </w:r>
      <w:r w:rsidRPr="00AA0DB7">
        <w:rPr>
          <w:i/>
          <w:sz w:val="26"/>
          <w:szCs w:val="26"/>
        </w:rPr>
        <w:t xml:space="preserve"> kumulovány na </w:t>
      </w:r>
      <w:r>
        <w:rPr>
          <w:i/>
          <w:sz w:val="26"/>
          <w:szCs w:val="26"/>
        </w:rPr>
        <w:t>základním běžném účtu</w:t>
      </w:r>
      <w:r w:rsidRPr="00AA0DB7">
        <w:rPr>
          <w:i/>
          <w:sz w:val="26"/>
          <w:szCs w:val="26"/>
        </w:rPr>
        <w:t xml:space="preserve">, pro zjednodušení se v příkladu nepředpokládá jejich </w:t>
      </w:r>
      <w:r>
        <w:rPr>
          <w:i/>
          <w:sz w:val="26"/>
          <w:szCs w:val="26"/>
        </w:rPr>
        <w:t xml:space="preserve">případné zhodnocování). </w:t>
      </w:r>
      <w:r w:rsidRPr="00AA0DB7">
        <w:rPr>
          <w:i/>
          <w:sz w:val="26"/>
          <w:szCs w:val="26"/>
        </w:rPr>
        <w:t xml:space="preserve"> </w:t>
      </w:r>
    </w:p>
    <w:p w:rsidR="00E0096A" w:rsidRPr="00AA0DB7" w:rsidRDefault="00E0096A" w:rsidP="00E0096A">
      <w:pPr>
        <w:spacing w:after="120" w:line="240" w:lineRule="auto"/>
        <w:jc w:val="both"/>
        <w:rPr>
          <w:i/>
          <w:sz w:val="26"/>
          <w:szCs w:val="26"/>
        </w:rPr>
      </w:pPr>
      <w:r w:rsidRPr="00AA0DB7">
        <w:rPr>
          <w:i/>
          <w:sz w:val="26"/>
          <w:szCs w:val="26"/>
        </w:rPr>
        <w:t>V roce 201</w:t>
      </w:r>
      <w:r>
        <w:rPr>
          <w:i/>
          <w:sz w:val="26"/>
          <w:szCs w:val="26"/>
        </w:rPr>
        <w:t>8</w:t>
      </w:r>
      <w:r w:rsidRPr="00AA0DB7">
        <w:rPr>
          <w:i/>
          <w:sz w:val="26"/>
          <w:szCs w:val="26"/>
        </w:rPr>
        <w:t xml:space="preserve"> </w:t>
      </w:r>
      <w:r>
        <w:rPr>
          <w:i/>
          <w:sz w:val="26"/>
          <w:szCs w:val="26"/>
        </w:rPr>
        <w:t>došlo k realizaci</w:t>
      </w:r>
      <w:r w:rsidRPr="00AA0DB7">
        <w:rPr>
          <w:i/>
          <w:sz w:val="26"/>
          <w:szCs w:val="26"/>
        </w:rPr>
        <w:t xml:space="preserve"> investiční</w:t>
      </w:r>
      <w:r>
        <w:rPr>
          <w:i/>
          <w:sz w:val="26"/>
          <w:szCs w:val="26"/>
        </w:rPr>
        <w:t>ho</w:t>
      </w:r>
      <w:r w:rsidRPr="00AA0DB7">
        <w:rPr>
          <w:i/>
          <w:sz w:val="26"/>
          <w:szCs w:val="26"/>
        </w:rPr>
        <w:t xml:space="preserve"> výdaj</w:t>
      </w:r>
      <w:r>
        <w:rPr>
          <w:i/>
          <w:sz w:val="26"/>
          <w:szCs w:val="26"/>
        </w:rPr>
        <w:t>e</w:t>
      </w:r>
      <w:r w:rsidRPr="00AA0DB7">
        <w:rPr>
          <w:i/>
          <w:sz w:val="26"/>
          <w:szCs w:val="26"/>
        </w:rPr>
        <w:t xml:space="preserve"> ve výši 20 mil. Kč</w:t>
      </w:r>
      <w:r>
        <w:rPr>
          <w:i/>
          <w:sz w:val="26"/>
          <w:szCs w:val="26"/>
        </w:rPr>
        <w:t xml:space="preserve"> (nárůst výdajů z 28 na 48 mil. Kč).</w:t>
      </w:r>
      <w:r w:rsidRPr="00AA0DB7">
        <w:rPr>
          <w:i/>
          <w:sz w:val="26"/>
          <w:szCs w:val="26"/>
        </w:rPr>
        <w:t xml:space="preserve"> Výdaj</w:t>
      </w:r>
      <w:r>
        <w:rPr>
          <w:i/>
          <w:sz w:val="26"/>
          <w:szCs w:val="26"/>
        </w:rPr>
        <w:t xml:space="preserve"> byl financován </w:t>
      </w:r>
      <w:r w:rsidRPr="00AA0DB7">
        <w:rPr>
          <w:i/>
          <w:sz w:val="26"/>
          <w:szCs w:val="26"/>
        </w:rPr>
        <w:t xml:space="preserve">vlastními prostředky z minulých let </w:t>
      </w:r>
      <w:r>
        <w:rPr>
          <w:i/>
          <w:sz w:val="26"/>
          <w:szCs w:val="26"/>
        </w:rPr>
        <w:t>ve výši 8 mil. Kč (pokles prostředků na ZBÚ z 10 na 2 mil. Kč)</w:t>
      </w:r>
      <w:r w:rsidRPr="00AA0DB7">
        <w:rPr>
          <w:i/>
          <w:sz w:val="26"/>
          <w:szCs w:val="26"/>
        </w:rPr>
        <w:t xml:space="preserve"> a </w:t>
      </w:r>
      <w:r>
        <w:rPr>
          <w:i/>
          <w:sz w:val="26"/>
          <w:szCs w:val="26"/>
        </w:rPr>
        <w:t xml:space="preserve">čerpáním </w:t>
      </w:r>
      <w:r w:rsidRPr="00AA0DB7">
        <w:rPr>
          <w:i/>
          <w:sz w:val="26"/>
          <w:szCs w:val="26"/>
        </w:rPr>
        <w:t>krátkodob</w:t>
      </w:r>
      <w:r>
        <w:rPr>
          <w:i/>
          <w:sz w:val="26"/>
          <w:szCs w:val="26"/>
        </w:rPr>
        <w:t>ého</w:t>
      </w:r>
      <w:r w:rsidRPr="00AA0DB7">
        <w:rPr>
          <w:i/>
          <w:sz w:val="26"/>
          <w:szCs w:val="26"/>
        </w:rPr>
        <w:t xml:space="preserve"> úvěr</w:t>
      </w:r>
      <w:r>
        <w:rPr>
          <w:i/>
          <w:sz w:val="26"/>
          <w:szCs w:val="26"/>
        </w:rPr>
        <w:t xml:space="preserve">u ve výši </w:t>
      </w:r>
      <w:r w:rsidRPr="00AA0DB7">
        <w:rPr>
          <w:i/>
          <w:sz w:val="26"/>
          <w:szCs w:val="26"/>
        </w:rPr>
        <w:t xml:space="preserve">10 mil. Kč. </w:t>
      </w:r>
      <w:r>
        <w:rPr>
          <w:i/>
          <w:sz w:val="26"/>
          <w:szCs w:val="26"/>
        </w:rPr>
        <w:t>V roce 2018 byl vykázán</w:t>
      </w:r>
      <w:r w:rsidRPr="00AA0DB7">
        <w:rPr>
          <w:i/>
          <w:sz w:val="26"/>
          <w:szCs w:val="26"/>
        </w:rPr>
        <w:t xml:space="preserve"> schodek rozpočtu 18 mil. Kč. Ovšem můžeme tento schodek hodnotit jako něco negativního? Velmi pravděpodobně nikoliv. Obec realizovala investici, na kterou cíleně spořila v minulých letech. Schodek ve výši 18 mil. Kč neznamená nic jiného než rozdíl mezi příjmy a výdaji jednoho roku.  V roce 201</w:t>
      </w:r>
      <w:r>
        <w:rPr>
          <w:i/>
          <w:sz w:val="26"/>
          <w:szCs w:val="26"/>
        </w:rPr>
        <w:t>9</w:t>
      </w:r>
      <w:r w:rsidRPr="00AA0DB7">
        <w:rPr>
          <w:i/>
          <w:sz w:val="26"/>
          <w:szCs w:val="26"/>
        </w:rPr>
        <w:t xml:space="preserve"> obec přijala dotaci ve výši 10 mil. Kč (ex post), kterou použila na úhradu úvěru a realizovala přebytek ve výši 12 mil. Kč</w:t>
      </w:r>
      <w:r>
        <w:rPr>
          <w:i/>
          <w:sz w:val="26"/>
          <w:szCs w:val="26"/>
        </w:rPr>
        <w:t xml:space="preserve">; přebytek se promítl do zvýšení stavu peněz jen o 2 mil. Kč, protože část z přebytku ve výši 10 mil. Kč byla použita na splacení úvěru na předfinancování dotace z minulého roku. </w:t>
      </w:r>
    </w:p>
    <w:p w:rsidR="00E0096A" w:rsidRPr="00AA0DB7" w:rsidRDefault="00E0096A" w:rsidP="00E0096A">
      <w:pPr>
        <w:spacing w:before="120" w:after="120"/>
        <w:jc w:val="both"/>
        <w:rPr>
          <w:i/>
          <w:sz w:val="26"/>
          <w:szCs w:val="26"/>
        </w:rPr>
      </w:pPr>
      <w:r w:rsidRPr="00AA0DB7">
        <w:rPr>
          <w:i/>
          <w:sz w:val="26"/>
          <w:szCs w:val="26"/>
        </w:rPr>
        <w:t>Shrnutí příkladu s uvedením položek financování</w:t>
      </w:r>
      <w:r>
        <w:rPr>
          <w:i/>
          <w:sz w:val="26"/>
          <w:szCs w:val="26"/>
        </w:rPr>
        <w:t xml:space="preserve"> (mil. Kč)</w:t>
      </w:r>
    </w:p>
    <w:tbl>
      <w:tblPr>
        <w:tblW w:w="6543"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701"/>
        <w:gridCol w:w="1701"/>
        <w:gridCol w:w="1701"/>
      </w:tblGrid>
      <w:tr w:rsidR="00E0096A" w:rsidRPr="007A4B26" w:rsidTr="00A01625">
        <w:trPr>
          <w:trHeight w:val="270"/>
        </w:trPr>
        <w:tc>
          <w:tcPr>
            <w:tcW w:w="1440" w:type="dxa"/>
            <w:shd w:val="clear" w:color="auto" w:fill="D9D9D9" w:themeFill="background1" w:themeFillShade="D9"/>
            <w:noWrap/>
            <w:vAlign w:val="bottom"/>
            <w:hideMark/>
          </w:tcPr>
          <w:p w:rsidR="00E0096A" w:rsidRPr="007A4B26" w:rsidRDefault="00E0096A" w:rsidP="00A01625">
            <w:pPr>
              <w:spacing w:after="0" w:line="240" w:lineRule="auto"/>
              <w:rPr>
                <w:b/>
                <w:bCs/>
                <w:color w:val="000000"/>
              </w:rPr>
            </w:pPr>
            <w:r w:rsidRPr="007A4B26">
              <w:rPr>
                <w:b/>
                <w:bCs/>
                <w:color w:val="000000"/>
              </w:rPr>
              <w:t> </w:t>
            </w:r>
          </w:p>
        </w:tc>
        <w:tc>
          <w:tcPr>
            <w:tcW w:w="1701" w:type="dxa"/>
            <w:shd w:val="clear" w:color="auto" w:fill="D9D9D9" w:themeFill="background1" w:themeFillShade="D9"/>
            <w:noWrap/>
            <w:vAlign w:val="center"/>
            <w:hideMark/>
          </w:tcPr>
          <w:p w:rsidR="00E0096A" w:rsidRPr="007A4B26" w:rsidRDefault="00E0096A" w:rsidP="00A01625">
            <w:pPr>
              <w:spacing w:after="0" w:line="240" w:lineRule="auto"/>
              <w:jc w:val="center"/>
              <w:rPr>
                <w:b/>
                <w:bCs/>
                <w:color w:val="000000"/>
              </w:rPr>
            </w:pPr>
            <w:r w:rsidRPr="007A4B26">
              <w:rPr>
                <w:b/>
                <w:bCs/>
                <w:color w:val="000000"/>
              </w:rPr>
              <w:t>201</w:t>
            </w:r>
            <w:r>
              <w:rPr>
                <w:b/>
                <w:bCs/>
                <w:color w:val="000000"/>
              </w:rPr>
              <w:t>3</w:t>
            </w:r>
            <w:r w:rsidRPr="007A4B26">
              <w:rPr>
                <w:b/>
                <w:bCs/>
                <w:color w:val="000000"/>
              </w:rPr>
              <w:t xml:space="preserve"> - 201</w:t>
            </w:r>
            <w:r>
              <w:rPr>
                <w:b/>
                <w:bCs/>
                <w:color w:val="000000"/>
              </w:rPr>
              <w:t>7</w:t>
            </w:r>
          </w:p>
        </w:tc>
        <w:tc>
          <w:tcPr>
            <w:tcW w:w="1701" w:type="dxa"/>
            <w:shd w:val="clear" w:color="auto" w:fill="D9D9D9" w:themeFill="background1" w:themeFillShade="D9"/>
            <w:noWrap/>
            <w:vAlign w:val="center"/>
            <w:hideMark/>
          </w:tcPr>
          <w:p w:rsidR="00E0096A" w:rsidRPr="007A4B26" w:rsidRDefault="00E0096A" w:rsidP="00A01625">
            <w:pPr>
              <w:spacing w:after="0" w:line="240" w:lineRule="auto"/>
              <w:jc w:val="center"/>
              <w:rPr>
                <w:b/>
                <w:bCs/>
                <w:color w:val="000000"/>
              </w:rPr>
            </w:pPr>
            <w:r w:rsidRPr="007A4B26">
              <w:rPr>
                <w:b/>
                <w:bCs/>
                <w:color w:val="000000"/>
              </w:rPr>
              <w:t>201</w:t>
            </w:r>
            <w:r>
              <w:rPr>
                <w:b/>
                <w:bCs/>
                <w:color w:val="000000"/>
              </w:rPr>
              <w:t>8</w:t>
            </w:r>
          </w:p>
        </w:tc>
        <w:tc>
          <w:tcPr>
            <w:tcW w:w="1701" w:type="dxa"/>
            <w:shd w:val="clear" w:color="auto" w:fill="D9D9D9" w:themeFill="background1" w:themeFillShade="D9"/>
            <w:vAlign w:val="center"/>
          </w:tcPr>
          <w:p w:rsidR="00E0096A" w:rsidRPr="007A4B26" w:rsidRDefault="00E0096A" w:rsidP="00A01625">
            <w:pPr>
              <w:spacing w:after="0" w:line="240" w:lineRule="auto"/>
              <w:jc w:val="center"/>
              <w:rPr>
                <w:b/>
                <w:bCs/>
                <w:color w:val="000000"/>
              </w:rPr>
            </w:pPr>
            <w:r>
              <w:rPr>
                <w:b/>
                <w:bCs/>
                <w:color w:val="000000"/>
              </w:rPr>
              <w:t>2019</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Příjmy </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30</w:t>
            </w:r>
          </w:p>
        </w:tc>
        <w:tc>
          <w:tcPr>
            <w:tcW w:w="1701" w:type="dxa"/>
          </w:tcPr>
          <w:p w:rsidR="00E0096A" w:rsidRPr="007A4B26" w:rsidRDefault="00E0096A" w:rsidP="00A01625">
            <w:pPr>
              <w:spacing w:after="0" w:line="240" w:lineRule="auto"/>
              <w:jc w:val="right"/>
              <w:rPr>
                <w:color w:val="000000"/>
              </w:rPr>
            </w:pPr>
            <w:r>
              <w:rPr>
                <w:color w:val="000000"/>
              </w:rPr>
              <w:t>40</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Výdaje </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28</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48</w:t>
            </w:r>
          </w:p>
        </w:tc>
        <w:tc>
          <w:tcPr>
            <w:tcW w:w="1701" w:type="dxa"/>
          </w:tcPr>
          <w:p w:rsidR="00E0096A" w:rsidRPr="007A4B26" w:rsidRDefault="00E0096A" w:rsidP="00A01625">
            <w:pPr>
              <w:spacing w:after="0" w:line="240" w:lineRule="auto"/>
              <w:jc w:val="right"/>
              <w:rPr>
                <w:color w:val="000000"/>
              </w:rPr>
            </w:pPr>
            <w:r>
              <w:rPr>
                <w:color w:val="000000"/>
              </w:rPr>
              <w:t>28</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color w:val="000000"/>
              </w:rPr>
            </w:pPr>
            <w:r w:rsidRPr="007A4B26">
              <w:rPr>
                <w:color w:val="000000"/>
              </w:rPr>
              <w:t xml:space="preserve">Saldo </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2</w:t>
            </w:r>
          </w:p>
        </w:tc>
        <w:tc>
          <w:tcPr>
            <w:tcW w:w="1701" w:type="dxa"/>
            <w:shd w:val="clear" w:color="auto" w:fill="auto"/>
            <w:noWrap/>
            <w:vAlign w:val="bottom"/>
            <w:hideMark/>
          </w:tcPr>
          <w:p w:rsidR="00E0096A" w:rsidRPr="007A4B26" w:rsidRDefault="00E0096A" w:rsidP="00A01625">
            <w:pPr>
              <w:spacing w:after="0" w:line="240" w:lineRule="auto"/>
              <w:jc w:val="right"/>
              <w:rPr>
                <w:color w:val="000000"/>
              </w:rPr>
            </w:pPr>
            <w:r w:rsidRPr="007A4B26">
              <w:rPr>
                <w:color w:val="000000"/>
              </w:rPr>
              <w:t>-18</w:t>
            </w:r>
          </w:p>
        </w:tc>
        <w:tc>
          <w:tcPr>
            <w:tcW w:w="1701" w:type="dxa"/>
          </w:tcPr>
          <w:p w:rsidR="00E0096A" w:rsidRPr="007A4B26" w:rsidRDefault="00E0096A" w:rsidP="00A01625">
            <w:pPr>
              <w:spacing w:after="0" w:line="240" w:lineRule="auto"/>
              <w:jc w:val="right"/>
              <w:rPr>
                <w:color w:val="000000"/>
              </w:rPr>
            </w:pPr>
            <w:r>
              <w:rPr>
                <w:color w:val="000000"/>
              </w:rPr>
              <w:t>12</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i/>
                <w:iCs/>
                <w:color w:val="000000"/>
              </w:rPr>
            </w:pPr>
            <w:r w:rsidRPr="007A4B26">
              <w:rPr>
                <w:i/>
                <w:iCs/>
                <w:color w:val="000000"/>
              </w:rPr>
              <w:t>Financování</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-2</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18</w:t>
            </w:r>
          </w:p>
        </w:tc>
        <w:tc>
          <w:tcPr>
            <w:tcW w:w="1701" w:type="dxa"/>
          </w:tcPr>
          <w:p w:rsidR="00E0096A" w:rsidRPr="007A4B26" w:rsidRDefault="00E0096A" w:rsidP="00A01625">
            <w:pPr>
              <w:spacing w:after="0" w:line="240" w:lineRule="auto"/>
              <w:jc w:val="right"/>
              <w:rPr>
                <w:i/>
                <w:iCs/>
                <w:color w:val="000000"/>
              </w:rPr>
            </w:pPr>
            <w:r>
              <w:rPr>
                <w:i/>
                <w:iCs/>
                <w:color w:val="000000"/>
              </w:rPr>
              <w:t>-12</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i/>
                <w:iCs/>
                <w:color w:val="000000"/>
              </w:rPr>
            </w:pPr>
            <w:r w:rsidRPr="007A4B26">
              <w:rPr>
                <w:i/>
                <w:iCs/>
                <w:color w:val="000000"/>
              </w:rPr>
              <w:t>81</w:t>
            </w:r>
            <w:r>
              <w:rPr>
                <w:i/>
                <w:iCs/>
                <w:color w:val="000000"/>
              </w:rPr>
              <w:t>1</w:t>
            </w:r>
            <w:r w:rsidRPr="007A4B26">
              <w:rPr>
                <w:i/>
                <w:iCs/>
                <w:color w:val="000000"/>
              </w:rPr>
              <w:t>3</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0</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10</w:t>
            </w:r>
          </w:p>
        </w:tc>
        <w:tc>
          <w:tcPr>
            <w:tcW w:w="1701" w:type="dxa"/>
          </w:tcPr>
          <w:p w:rsidR="00E0096A" w:rsidRPr="007A4B26" w:rsidRDefault="00E0096A" w:rsidP="00A01625">
            <w:pPr>
              <w:spacing w:after="0" w:line="240" w:lineRule="auto"/>
              <w:jc w:val="right"/>
              <w:rPr>
                <w:i/>
                <w:iCs/>
                <w:color w:val="000000"/>
              </w:rPr>
            </w:pPr>
            <w:r>
              <w:rPr>
                <w:i/>
                <w:iCs/>
                <w:color w:val="000000"/>
              </w:rPr>
              <w:t>0</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i/>
                <w:iCs/>
                <w:color w:val="000000"/>
              </w:rPr>
            </w:pPr>
            <w:r>
              <w:rPr>
                <w:i/>
                <w:iCs/>
                <w:color w:val="000000"/>
              </w:rPr>
              <w:t>8114</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Pr>
                <w:i/>
                <w:iCs/>
                <w:color w:val="000000"/>
              </w:rPr>
              <w:t>0</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Pr>
                <w:i/>
                <w:iCs/>
                <w:color w:val="000000"/>
              </w:rPr>
              <w:t>0</w:t>
            </w:r>
          </w:p>
        </w:tc>
        <w:tc>
          <w:tcPr>
            <w:tcW w:w="1701" w:type="dxa"/>
          </w:tcPr>
          <w:p w:rsidR="00E0096A" w:rsidRPr="007A4B26" w:rsidRDefault="00E0096A" w:rsidP="00A01625">
            <w:pPr>
              <w:spacing w:after="0" w:line="240" w:lineRule="auto"/>
              <w:jc w:val="right"/>
              <w:rPr>
                <w:i/>
                <w:iCs/>
                <w:color w:val="000000"/>
              </w:rPr>
            </w:pPr>
            <w:r>
              <w:rPr>
                <w:i/>
                <w:iCs/>
                <w:color w:val="000000"/>
              </w:rPr>
              <w:t>-10</w:t>
            </w:r>
          </w:p>
        </w:tc>
      </w:tr>
      <w:tr w:rsidR="00E0096A" w:rsidRPr="007A4B26" w:rsidTr="00A01625">
        <w:trPr>
          <w:trHeight w:val="270"/>
        </w:trPr>
        <w:tc>
          <w:tcPr>
            <w:tcW w:w="1440" w:type="dxa"/>
            <w:shd w:val="clear" w:color="auto" w:fill="auto"/>
            <w:noWrap/>
            <w:vAlign w:val="bottom"/>
            <w:hideMark/>
          </w:tcPr>
          <w:p w:rsidR="00E0096A" w:rsidRPr="007A4B26" w:rsidRDefault="00E0096A" w:rsidP="00A01625">
            <w:pPr>
              <w:spacing w:after="0" w:line="240" w:lineRule="auto"/>
              <w:rPr>
                <w:i/>
                <w:iCs/>
                <w:color w:val="000000"/>
              </w:rPr>
            </w:pPr>
            <w:r w:rsidRPr="007A4B26">
              <w:rPr>
                <w:i/>
                <w:iCs/>
                <w:color w:val="000000"/>
              </w:rPr>
              <w:t>8115</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-2</w:t>
            </w:r>
          </w:p>
        </w:tc>
        <w:tc>
          <w:tcPr>
            <w:tcW w:w="1701" w:type="dxa"/>
            <w:shd w:val="clear" w:color="auto" w:fill="auto"/>
            <w:noWrap/>
            <w:vAlign w:val="bottom"/>
            <w:hideMark/>
          </w:tcPr>
          <w:p w:rsidR="00E0096A" w:rsidRPr="007A4B26" w:rsidRDefault="00E0096A" w:rsidP="00A01625">
            <w:pPr>
              <w:spacing w:after="0" w:line="240" w:lineRule="auto"/>
              <w:jc w:val="right"/>
              <w:rPr>
                <w:i/>
                <w:iCs/>
                <w:color w:val="000000"/>
              </w:rPr>
            </w:pPr>
            <w:r w:rsidRPr="007A4B26">
              <w:rPr>
                <w:i/>
                <w:iCs/>
                <w:color w:val="000000"/>
              </w:rPr>
              <w:t>8</w:t>
            </w:r>
          </w:p>
        </w:tc>
        <w:tc>
          <w:tcPr>
            <w:tcW w:w="1701" w:type="dxa"/>
          </w:tcPr>
          <w:p w:rsidR="00E0096A" w:rsidRPr="007A4B26" w:rsidRDefault="00E0096A" w:rsidP="00A01625">
            <w:pPr>
              <w:spacing w:after="0" w:line="240" w:lineRule="auto"/>
              <w:jc w:val="right"/>
              <w:rPr>
                <w:i/>
                <w:iCs/>
                <w:color w:val="000000"/>
              </w:rPr>
            </w:pPr>
            <w:r>
              <w:rPr>
                <w:i/>
                <w:iCs/>
                <w:color w:val="000000"/>
              </w:rPr>
              <w:t>-2</w:t>
            </w:r>
          </w:p>
        </w:tc>
      </w:tr>
    </w:tbl>
    <w:p w:rsidR="00E0096A" w:rsidRPr="00007225" w:rsidRDefault="00E0096A" w:rsidP="00E0096A">
      <w:pPr>
        <w:spacing w:before="240" w:after="120" w:line="240" w:lineRule="auto"/>
        <w:jc w:val="both"/>
        <w:rPr>
          <w:i/>
          <w:sz w:val="26"/>
          <w:szCs w:val="26"/>
        </w:rPr>
      </w:pPr>
      <w:r w:rsidRPr="00007225">
        <w:rPr>
          <w:i/>
          <w:sz w:val="26"/>
          <w:szCs w:val="26"/>
        </w:rPr>
        <w:t xml:space="preserve">Shrnutí </w:t>
      </w:r>
      <w:r>
        <w:rPr>
          <w:i/>
          <w:sz w:val="26"/>
          <w:szCs w:val="26"/>
        </w:rPr>
        <w:t xml:space="preserve">příkladu </w:t>
      </w:r>
      <w:r w:rsidRPr="00007225">
        <w:rPr>
          <w:i/>
          <w:sz w:val="26"/>
          <w:szCs w:val="26"/>
        </w:rPr>
        <w:t>– celkové příjmy a výdaje rozpočtů ve sledovaném období (mil. Kč)</w:t>
      </w:r>
    </w:p>
    <w:tbl>
      <w:tblPr>
        <w:tblW w:w="314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shd w:val="clear" w:color="auto" w:fill="D9D9D9" w:themeFill="background1" w:themeFillShade="D9"/>
            <w:noWrap/>
            <w:vAlign w:val="bottom"/>
            <w:hideMark/>
          </w:tcPr>
          <w:p w:rsidR="00E0096A" w:rsidRPr="00DA3AC7" w:rsidRDefault="00E0096A" w:rsidP="00A01625">
            <w:pPr>
              <w:spacing w:after="0" w:line="240" w:lineRule="auto"/>
              <w:jc w:val="center"/>
              <w:rPr>
                <w:b/>
                <w:bCs/>
                <w:color w:val="000000"/>
              </w:rPr>
            </w:pPr>
            <w:r w:rsidRPr="00DA3AC7">
              <w:rPr>
                <w:b/>
                <w:bCs/>
                <w:color w:val="000000"/>
              </w:rPr>
              <w:t>201</w:t>
            </w:r>
            <w:r>
              <w:rPr>
                <w:b/>
                <w:bCs/>
                <w:color w:val="000000"/>
              </w:rPr>
              <w:t>3 - 2019</w:t>
            </w:r>
          </w:p>
        </w:tc>
      </w:tr>
      <w:tr w:rsidR="00E0096A" w:rsidRPr="00DA3AC7" w:rsidTr="00A01625">
        <w:trPr>
          <w:trHeight w:val="270"/>
        </w:trPr>
        <w:tc>
          <w:tcPr>
            <w:tcW w:w="1440" w:type="dxa"/>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1701" w:type="dxa"/>
            <w:shd w:val="clear" w:color="auto" w:fill="auto"/>
            <w:noWrap/>
            <w:vAlign w:val="bottom"/>
            <w:hideMark/>
          </w:tcPr>
          <w:p w:rsidR="00E0096A" w:rsidRPr="00DA3AC7" w:rsidRDefault="00E0096A" w:rsidP="00A01625">
            <w:pPr>
              <w:spacing w:after="0" w:line="240" w:lineRule="auto"/>
              <w:jc w:val="right"/>
              <w:rPr>
                <w:color w:val="000000"/>
              </w:rPr>
            </w:pPr>
            <w:r>
              <w:rPr>
                <w:color w:val="000000"/>
              </w:rPr>
              <w:t>220</w:t>
            </w:r>
          </w:p>
        </w:tc>
      </w:tr>
      <w:tr w:rsidR="00E0096A" w:rsidRPr="00DA3AC7" w:rsidTr="00A01625">
        <w:trPr>
          <w:trHeight w:val="270"/>
        </w:trPr>
        <w:tc>
          <w:tcPr>
            <w:tcW w:w="1440" w:type="dxa"/>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1701" w:type="dxa"/>
            <w:shd w:val="clear" w:color="auto" w:fill="auto"/>
            <w:noWrap/>
            <w:vAlign w:val="bottom"/>
            <w:hideMark/>
          </w:tcPr>
          <w:p w:rsidR="00E0096A" w:rsidRPr="00DA3AC7" w:rsidRDefault="00E0096A" w:rsidP="00A01625">
            <w:pPr>
              <w:spacing w:after="0" w:line="240" w:lineRule="auto"/>
              <w:jc w:val="right"/>
              <w:rPr>
                <w:color w:val="000000"/>
              </w:rPr>
            </w:pPr>
            <w:r>
              <w:rPr>
                <w:color w:val="000000"/>
              </w:rPr>
              <w:t>216</w:t>
            </w:r>
          </w:p>
        </w:tc>
      </w:tr>
      <w:tr w:rsidR="00E0096A" w:rsidRPr="00DA3AC7" w:rsidTr="00A01625">
        <w:trPr>
          <w:trHeight w:val="270"/>
        </w:trPr>
        <w:tc>
          <w:tcPr>
            <w:tcW w:w="1440" w:type="dxa"/>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shd w:val="clear" w:color="auto" w:fill="auto"/>
            <w:noWrap/>
            <w:vAlign w:val="bottom"/>
            <w:hideMark/>
          </w:tcPr>
          <w:p w:rsidR="00E0096A" w:rsidRPr="00DA3AC7" w:rsidRDefault="00E0096A" w:rsidP="00A01625">
            <w:pPr>
              <w:spacing w:after="0" w:line="240" w:lineRule="auto"/>
              <w:jc w:val="right"/>
              <w:rPr>
                <w:color w:val="000000"/>
              </w:rPr>
            </w:pPr>
            <w:r>
              <w:rPr>
                <w:color w:val="000000"/>
              </w:rPr>
              <w:t>4</w:t>
            </w:r>
          </w:p>
        </w:tc>
      </w:tr>
    </w:tbl>
    <w:p w:rsidR="00E0096A" w:rsidRPr="0066610E" w:rsidRDefault="00E0096A" w:rsidP="00E0096A">
      <w:pPr>
        <w:spacing w:before="160" w:after="120" w:line="240" w:lineRule="auto"/>
        <w:jc w:val="both"/>
        <w:rPr>
          <w:b/>
          <w:i/>
          <w:sz w:val="26"/>
          <w:szCs w:val="26"/>
        </w:rPr>
      </w:pPr>
      <w:r w:rsidRPr="0066610E">
        <w:rPr>
          <w:i/>
          <w:sz w:val="26"/>
          <w:szCs w:val="26"/>
        </w:rPr>
        <w:t xml:space="preserve">Hospodaření obce je v delším časovém období v zásadě (plus mínus) vyrovnané. Při hodnocení hospodaření je třeba myslet na to, že údaje jednoho ročního rozpočtu jsou vždy vytrženy z kontextu delšího časového období (jeden roční rozpočet je příliš krátké období k utvoření si názoru na hospodaření a finanční pozici obce). </w:t>
      </w:r>
    </w:p>
    <w:p w:rsidR="00E0096A" w:rsidRPr="0066610E" w:rsidRDefault="00E0096A" w:rsidP="00E0096A">
      <w:pPr>
        <w:spacing w:line="240" w:lineRule="auto"/>
        <w:rPr>
          <w:i/>
          <w:highlight w:val="yellow"/>
        </w:rPr>
      </w:pPr>
      <w:r w:rsidRPr="0066610E">
        <w:rPr>
          <w:i/>
          <w:sz w:val="26"/>
          <w:szCs w:val="26"/>
        </w:rPr>
        <w:t xml:space="preserve">Příklad na klasifikaci rozpočtu </w:t>
      </w:r>
    </w:p>
    <w:p w:rsidR="00E0096A" w:rsidRPr="0066610E" w:rsidRDefault="00E0096A" w:rsidP="00E0096A">
      <w:pPr>
        <w:spacing w:after="120" w:line="240" w:lineRule="auto"/>
        <w:rPr>
          <w:i/>
          <w:sz w:val="26"/>
          <w:szCs w:val="26"/>
        </w:rPr>
      </w:pPr>
      <w:r w:rsidRPr="0066610E">
        <w:rPr>
          <w:i/>
          <w:sz w:val="26"/>
          <w:szCs w:val="26"/>
        </w:rPr>
        <w:t>Údaje z rozboru hospodaření za březen 2019:</w:t>
      </w:r>
    </w:p>
    <w:tbl>
      <w:tblPr>
        <w:tblStyle w:val="Mkatabulky"/>
        <w:tblW w:w="0" w:type="auto"/>
        <w:tblLook w:val="04A0" w:firstRow="1" w:lastRow="0" w:firstColumn="1" w:lastColumn="0" w:noHBand="0" w:noVBand="1"/>
      </w:tblPr>
      <w:tblGrid>
        <w:gridCol w:w="1981"/>
        <w:gridCol w:w="1981"/>
        <w:gridCol w:w="1982"/>
        <w:gridCol w:w="1982"/>
      </w:tblGrid>
      <w:tr w:rsidR="00E0096A" w:rsidRPr="00A82488" w:rsidTr="00A01625">
        <w:tc>
          <w:tcPr>
            <w:tcW w:w="1981" w:type="dxa"/>
            <w:vAlign w:val="center"/>
          </w:tcPr>
          <w:p w:rsidR="00E0096A" w:rsidRPr="00A82488" w:rsidRDefault="00E0096A" w:rsidP="00A01625">
            <w:pPr>
              <w:jc w:val="center"/>
              <w:rPr>
                <w:b/>
              </w:rPr>
            </w:pPr>
            <w:r w:rsidRPr="00A82488">
              <w:rPr>
                <w:b/>
              </w:rPr>
              <w:t>Název</w:t>
            </w:r>
          </w:p>
        </w:tc>
        <w:tc>
          <w:tcPr>
            <w:tcW w:w="1981" w:type="dxa"/>
            <w:vAlign w:val="center"/>
          </w:tcPr>
          <w:p w:rsidR="00E0096A" w:rsidRPr="00A82488" w:rsidRDefault="00E0096A" w:rsidP="00A01625">
            <w:pPr>
              <w:jc w:val="center"/>
              <w:rPr>
                <w:b/>
              </w:rPr>
            </w:pPr>
            <w:r w:rsidRPr="00A82488">
              <w:rPr>
                <w:b/>
              </w:rPr>
              <w:t>Schválený rozpočet</w:t>
            </w:r>
          </w:p>
        </w:tc>
        <w:tc>
          <w:tcPr>
            <w:tcW w:w="1982" w:type="dxa"/>
            <w:vAlign w:val="center"/>
          </w:tcPr>
          <w:p w:rsidR="00E0096A" w:rsidRPr="00A82488" w:rsidRDefault="00E0096A" w:rsidP="00A01625">
            <w:pPr>
              <w:jc w:val="center"/>
              <w:rPr>
                <w:b/>
              </w:rPr>
            </w:pPr>
            <w:r w:rsidRPr="00A82488">
              <w:rPr>
                <w:b/>
              </w:rPr>
              <w:t>Rozpočet po změnách</w:t>
            </w:r>
          </w:p>
        </w:tc>
        <w:tc>
          <w:tcPr>
            <w:tcW w:w="1982" w:type="dxa"/>
            <w:vAlign w:val="center"/>
          </w:tcPr>
          <w:p w:rsidR="00E0096A" w:rsidRPr="00A82488" w:rsidRDefault="00E0096A" w:rsidP="00A01625">
            <w:pPr>
              <w:jc w:val="center"/>
              <w:rPr>
                <w:b/>
              </w:rPr>
            </w:pPr>
            <w:r w:rsidRPr="00A82488">
              <w:rPr>
                <w:b/>
              </w:rPr>
              <w:t>Výsledek od počátku roku</w:t>
            </w:r>
          </w:p>
        </w:tc>
      </w:tr>
      <w:tr w:rsidR="00E0096A" w:rsidRPr="00A82488" w:rsidTr="00A01625">
        <w:tc>
          <w:tcPr>
            <w:tcW w:w="1981" w:type="dxa"/>
          </w:tcPr>
          <w:p w:rsidR="00E0096A" w:rsidRPr="00A82488" w:rsidRDefault="00E0096A" w:rsidP="00A01625">
            <w:r w:rsidRPr="00A82488">
              <w:t xml:space="preserve">Příjmy celkem po konsolidaci </w:t>
            </w:r>
          </w:p>
        </w:tc>
        <w:tc>
          <w:tcPr>
            <w:tcW w:w="1981" w:type="dxa"/>
            <w:vAlign w:val="center"/>
          </w:tcPr>
          <w:p w:rsidR="00E0096A" w:rsidRDefault="00E0096A" w:rsidP="00A01625">
            <w:pPr>
              <w:jc w:val="right"/>
            </w:pPr>
            <w:r>
              <w:t>196 936 200,00</w:t>
            </w:r>
          </w:p>
        </w:tc>
        <w:tc>
          <w:tcPr>
            <w:tcW w:w="1982" w:type="dxa"/>
            <w:vAlign w:val="center"/>
          </w:tcPr>
          <w:p w:rsidR="00E0096A" w:rsidRDefault="00E0096A" w:rsidP="00A01625">
            <w:pPr>
              <w:jc w:val="right"/>
            </w:pPr>
            <w:r>
              <w:t>198 211 100,00</w:t>
            </w:r>
          </w:p>
        </w:tc>
        <w:tc>
          <w:tcPr>
            <w:tcW w:w="1982" w:type="dxa"/>
            <w:vAlign w:val="center"/>
          </w:tcPr>
          <w:p w:rsidR="00E0096A" w:rsidRDefault="00E0096A" w:rsidP="00A01625">
            <w:pPr>
              <w:jc w:val="right"/>
            </w:pPr>
            <w:r>
              <w:t>46 299 836,98</w:t>
            </w:r>
          </w:p>
        </w:tc>
      </w:tr>
      <w:tr w:rsidR="00E0096A" w:rsidRPr="00A82488" w:rsidTr="00A01625">
        <w:tc>
          <w:tcPr>
            <w:tcW w:w="1981" w:type="dxa"/>
          </w:tcPr>
          <w:p w:rsidR="00E0096A" w:rsidRPr="00A82488" w:rsidRDefault="00E0096A" w:rsidP="00A01625">
            <w:r w:rsidRPr="00A82488">
              <w:t xml:space="preserve">Výdaje celkem po </w:t>
            </w:r>
            <w:r w:rsidRPr="00A82488">
              <w:lastRenderedPageBreak/>
              <w:t xml:space="preserve">konsolidaci </w:t>
            </w:r>
          </w:p>
        </w:tc>
        <w:tc>
          <w:tcPr>
            <w:tcW w:w="1981" w:type="dxa"/>
            <w:vAlign w:val="center"/>
          </w:tcPr>
          <w:p w:rsidR="00E0096A" w:rsidRDefault="00E0096A" w:rsidP="00A01625">
            <w:pPr>
              <w:jc w:val="right"/>
            </w:pPr>
            <w:r>
              <w:lastRenderedPageBreak/>
              <w:t>233 863 900,00</w:t>
            </w:r>
          </w:p>
        </w:tc>
        <w:tc>
          <w:tcPr>
            <w:tcW w:w="1982" w:type="dxa"/>
            <w:vAlign w:val="center"/>
          </w:tcPr>
          <w:p w:rsidR="00E0096A" w:rsidRDefault="00E0096A" w:rsidP="00A01625">
            <w:pPr>
              <w:jc w:val="right"/>
            </w:pPr>
            <w:r>
              <w:t>240 138 800,00</w:t>
            </w:r>
          </w:p>
        </w:tc>
        <w:tc>
          <w:tcPr>
            <w:tcW w:w="1982" w:type="dxa"/>
            <w:vAlign w:val="center"/>
          </w:tcPr>
          <w:p w:rsidR="00E0096A" w:rsidRDefault="00E0096A" w:rsidP="00A01625">
            <w:pPr>
              <w:jc w:val="right"/>
            </w:pPr>
            <w:r>
              <w:t>40 537 543,61</w:t>
            </w:r>
          </w:p>
        </w:tc>
      </w:tr>
      <w:tr w:rsidR="00E0096A" w:rsidRPr="00A82488" w:rsidTr="00A01625">
        <w:tc>
          <w:tcPr>
            <w:tcW w:w="1981" w:type="dxa"/>
          </w:tcPr>
          <w:p w:rsidR="00E0096A" w:rsidRPr="00A82488" w:rsidRDefault="00E0096A" w:rsidP="00A01625">
            <w:r w:rsidRPr="00A82488">
              <w:lastRenderedPageBreak/>
              <w:t>Saldo příjmů a výdajů</w:t>
            </w:r>
          </w:p>
        </w:tc>
        <w:tc>
          <w:tcPr>
            <w:tcW w:w="1981" w:type="dxa"/>
            <w:vAlign w:val="center"/>
          </w:tcPr>
          <w:p w:rsidR="00E0096A" w:rsidRDefault="00E0096A" w:rsidP="00A01625">
            <w:pPr>
              <w:jc w:val="right"/>
            </w:pPr>
            <w:r>
              <w:t>-36 927 700,00</w:t>
            </w:r>
          </w:p>
        </w:tc>
        <w:tc>
          <w:tcPr>
            <w:tcW w:w="1982" w:type="dxa"/>
            <w:vAlign w:val="center"/>
          </w:tcPr>
          <w:p w:rsidR="00E0096A" w:rsidRDefault="00E0096A" w:rsidP="00A01625">
            <w:pPr>
              <w:jc w:val="right"/>
            </w:pPr>
            <w:r>
              <w:t>-41 927 700,00</w:t>
            </w:r>
          </w:p>
        </w:tc>
        <w:tc>
          <w:tcPr>
            <w:tcW w:w="1982" w:type="dxa"/>
            <w:vAlign w:val="center"/>
          </w:tcPr>
          <w:p w:rsidR="00E0096A" w:rsidRDefault="00E0096A" w:rsidP="00A01625">
            <w:pPr>
              <w:jc w:val="right"/>
            </w:pPr>
            <w:r>
              <w:t>5 762 293,37</w:t>
            </w:r>
          </w:p>
        </w:tc>
      </w:tr>
      <w:tr w:rsidR="00E0096A" w:rsidRPr="00A82488" w:rsidTr="00A01625">
        <w:tc>
          <w:tcPr>
            <w:tcW w:w="1981" w:type="dxa"/>
          </w:tcPr>
          <w:p w:rsidR="00E0096A" w:rsidRPr="00A82488" w:rsidRDefault="00E0096A" w:rsidP="00A01625">
            <w:r w:rsidRPr="00A82488">
              <w:t>Třída 8</w:t>
            </w:r>
            <w:r>
              <w:t xml:space="preserve"> – </w:t>
            </w:r>
            <w:r w:rsidRPr="00A82488">
              <w:t xml:space="preserve">financování </w:t>
            </w:r>
          </w:p>
        </w:tc>
        <w:tc>
          <w:tcPr>
            <w:tcW w:w="1981" w:type="dxa"/>
            <w:vAlign w:val="center"/>
          </w:tcPr>
          <w:p w:rsidR="00E0096A" w:rsidRDefault="00E0096A" w:rsidP="00A01625">
            <w:pPr>
              <w:jc w:val="right"/>
            </w:pPr>
            <w:r>
              <w:t>36 927 700,00</w:t>
            </w:r>
          </w:p>
        </w:tc>
        <w:tc>
          <w:tcPr>
            <w:tcW w:w="1982" w:type="dxa"/>
            <w:vAlign w:val="center"/>
          </w:tcPr>
          <w:p w:rsidR="00E0096A" w:rsidRDefault="00E0096A" w:rsidP="00A01625">
            <w:pPr>
              <w:jc w:val="right"/>
            </w:pPr>
            <w:r>
              <w:t>41 927 700,00</w:t>
            </w:r>
          </w:p>
        </w:tc>
        <w:tc>
          <w:tcPr>
            <w:tcW w:w="1982" w:type="dxa"/>
            <w:vAlign w:val="center"/>
          </w:tcPr>
          <w:p w:rsidR="00E0096A" w:rsidRDefault="00E0096A" w:rsidP="00A01625">
            <w:pPr>
              <w:jc w:val="right"/>
            </w:pPr>
            <w:r>
              <w:t>-5 762 293,37</w:t>
            </w:r>
          </w:p>
        </w:tc>
      </w:tr>
    </w:tbl>
    <w:p w:rsidR="00E0096A" w:rsidRPr="0066610E" w:rsidRDefault="00E0096A" w:rsidP="00E0096A">
      <w:pPr>
        <w:spacing w:before="160" w:line="240" w:lineRule="auto"/>
        <w:jc w:val="both"/>
        <w:rPr>
          <w:i/>
          <w:sz w:val="26"/>
          <w:szCs w:val="26"/>
        </w:rPr>
      </w:pPr>
      <w:r w:rsidRPr="0066610E">
        <w:rPr>
          <w:i/>
          <w:sz w:val="26"/>
          <w:szCs w:val="26"/>
        </w:rPr>
        <w:t xml:space="preserve">Rozpočet byl schválen jako schodkový se schodkem 36,9 mil. Kč; upravený rozpočet k 31. 3. 2019 (po poslední provedené změně k tomuto dni) je schodkový se schodkem 41,9 mil. Kč; skutečné plnění za první čtvrtletí je přebytkové s přebytkem 5,7 mil. Kč. </w:t>
      </w:r>
    </w:p>
    <w:p w:rsidR="00E0096A" w:rsidRPr="00731532" w:rsidRDefault="00E0096A" w:rsidP="00AB33EC">
      <w:pPr>
        <w:pStyle w:val="Nadpis2"/>
        <w:numPr>
          <w:ilvl w:val="1"/>
          <w:numId w:val="1"/>
        </w:numPr>
        <w:spacing w:before="360" w:after="240" w:line="240" w:lineRule="auto"/>
        <w:rPr>
          <w:sz w:val="28"/>
          <w:szCs w:val="28"/>
        </w:rPr>
      </w:pPr>
      <w:bookmarkStart w:id="2" w:name="_Toc6875901"/>
      <w:r>
        <w:rPr>
          <w:sz w:val="28"/>
          <w:szCs w:val="28"/>
        </w:rPr>
        <w:t>Položka 8115</w:t>
      </w:r>
      <w:bookmarkEnd w:id="2"/>
    </w:p>
    <w:p w:rsidR="00E0096A" w:rsidRDefault="00E0096A" w:rsidP="00E0096A">
      <w:pPr>
        <w:spacing w:after="120" w:line="240" w:lineRule="auto"/>
        <w:jc w:val="both"/>
        <w:rPr>
          <w:rFonts w:cs="Times New Roman"/>
          <w:sz w:val="26"/>
          <w:szCs w:val="26"/>
        </w:rPr>
      </w:pPr>
      <w:r>
        <w:rPr>
          <w:rFonts w:cs="Times New Roman"/>
          <w:sz w:val="26"/>
          <w:szCs w:val="26"/>
        </w:rPr>
        <w:t>Položka 8115 vyjadřuje</w:t>
      </w:r>
      <w:r w:rsidRPr="003C14D2">
        <w:rPr>
          <w:rFonts w:cs="Times New Roman"/>
          <w:sz w:val="26"/>
          <w:szCs w:val="26"/>
        </w:rPr>
        <w:t xml:space="preserve"> změn</w:t>
      </w:r>
      <w:r>
        <w:rPr>
          <w:rFonts w:cs="Times New Roman"/>
          <w:sz w:val="26"/>
          <w:szCs w:val="26"/>
        </w:rPr>
        <w:t>u</w:t>
      </w:r>
      <w:r w:rsidRPr="003C14D2">
        <w:rPr>
          <w:rFonts w:cs="Times New Roman"/>
          <w:sz w:val="26"/>
          <w:szCs w:val="26"/>
        </w:rPr>
        <w:t xml:space="preserve"> stavu prostředků na účtech, které se třídí </w:t>
      </w:r>
      <w:r>
        <w:rPr>
          <w:rFonts w:cs="Times New Roman"/>
          <w:sz w:val="26"/>
          <w:szCs w:val="26"/>
        </w:rPr>
        <w:t xml:space="preserve">rozpočtovou skladbou, tj. na účtech 231, 236 a pokud obec účtuje pokladnu v tzv. režimu oddělených pokladen, tak i 261. </w:t>
      </w:r>
      <w:r w:rsidRPr="00446F80">
        <w:rPr>
          <w:rFonts w:cs="Times New Roman"/>
          <w:sz w:val="26"/>
          <w:szCs w:val="26"/>
        </w:rPr>
        <w:t>Výše položky se určí jako rozdíl</w:t>
      </w:r>
      <w:r>
        <w:rPr>
          <w:rFonts w:cs="Times New Roman"/>
          <w:sz w:val="26"/>
          <w:szCs w:val="26"/>
        </w:rPr>
        <w:t xml:space="preserve"> </w:t>
      </w:r>
      <w:r w:rsidRPr="00446F80">
        <w:rPr>
          <w:rFonts w:cs="Times New Roman"/>
          <w:sz w:val="26"/>
          <w:szCs w:val="26"/>
        </w:rPr>
        <w:t>mezi počátečním</w:t>
      </w:r>
      <w:r>
        <w:rPr>
          <w:rFonts w:cs="Times New Roman"/>
          <w:sz w:val="26"/>
          <w:szCs w:val="26"/>
        </w:rPr>
        <w:t xml:space="preserve"> </w:t>
      </w:r>
      <w:r w:rsidRPr="00446F80">
        <w:rPr>
          <w:rFonts w:cs="Times New Roman"/>
          <w:sz w:val="26"/>
          <w:szCs w:val="26"/>
        </w:rPr>
        <w:t xml:space="preserve">a konečným stavem prostředků na </w:t>
      </w:r>
      <w:r>
        <w:rPr>
          <w:rFonts w:cs="Times New Roman"/>
          <w:sz w:val="26"/>
          <w:szCs w:val="26"/>
        </w:rPr>
        <w:t xml:space="preserve">těchto </w:t>
      </w:r>
      <w:r w:rsidRPr="00446F80">
        <w:rPr>
          <w:rFonts w:cs="Times New Roman"/>
          <w:sz w:val="26"/>
          <w:szCs w:val="26"/>
        </w:rPr>
        <w:t>účtech</w:t>
      </w:r>
      <w:r>
        <w:rPr>
          <w:rFonts w:cs="Times New Roman"/>
          <w:sz w:val="26"/>
          <w:szCs w:val="26"/>
        </w:rPr>
        <w:t xml:space="preserve">. </w:t>
      </w:r>
      <w:r w:rsidRPr="00446F80">
        <w:rPr>
          <w:rFonts w:cs="Times New Roman"/>
          <w:sz w:val="26"/>
          <w:szCs w:val="26"/>
        </w:rPr>
        <w:t xml:space="preserve"> </w:t>
      </w:r>
    </w:p>
    <w:p w:rsidR="00E0096A" w:rsidRDefault="00E0096A" w:rsidP="00E0096A">
      <w:pPr>
        <w:spacing w:after="120" w:line="240" w:lineRule="auto"/>
        <w:jc w:val="both"/>
        <w:rPr>
          <w:rFonts w:cs="Times New Roman"/>
          <w:sz w:val="26"/>
          <w:szCs w:val="26"/>
        </w:rPr>
      </w:pPr>
      <w:r>
        <w:rPr>
          <w:rFonts w:cs="Times New Roman"/>
          <w:sz w:val="26"/>
          <w:szCs w:val="26"/>
        </w:rPr>
        <w:t xml:space="preserve">Při skutečném plnění rozpočtu položka vyjadřuje, jak se ve sledovaném období (např. měsíc, čtvrtletí, pololetí, rok) změnil stav peněz na uvedených účtech, zda peníze přibyly či ubyly. Z položky 8115 nelze poznat, proč peníze přibyly nebo ubyly, ale pouze že se tak stalo. </w:t>
      </w:r>
    </w:p>
    <w:p w:rsidR="00E0096A" w:rsidRDefault="00E0096A" w:rsidP="00E0096A">
      <w:pPr>
        <w:spacing w:after="120" w:line="240" w:lineRule="auto"/>
        <w:jc w:val="both"/>
        <w:rPr>
          <w:rFonts w:cs="Times New Roman"/>
          <w:sz w:val="26"/>
          <w:szCs w:val="26"/>
        </w:rPr>
      </w:pPr>
      <w:r>
        <w:rPr>
          <w:rFonts w:cs="Times New Roman"/>
          <w:sz w:val="26"/>
          <w:szCs w:val="26"/>
        </w:rPr>
        <w:t xml:space="preserve">Ve schváleném (upraveném) rozpočtu položka vyjadřuje, v jaké výši je plánována změna stavu peněz na účtech v daném roce. Pokud se v rozpočtu plánuje pokles peněz, je rozpočtování položky 8115 povinné (viz níže). </w:t>
      </w:r>
    </w:p>
    <w:p w:rsidR="00E0096A" w:rsidRPr="00AB33EC" w:rsidRDefault="00E0096A" w:rsidP="00E0096A">
      <w:pPr>
        <w:spacing w:after="120" w:line="240" w:lineRule="auto"/>
        <w:rPr>
          <w:rFonts w:cs="Times New Roman"/>
          <w:b/>
          <w:i/>
          <w:sz w:val="26"/>
          <w:szCs w:val="26"/>
        </w:rPr>
      </w:pPr>
      <w:r w:rsidRPr="00AB33EC">
        <w:rPr>
          <w:rFonts w:cs="Times New Roman"/>
          <w:b/>
          <w:i/>
          <w:sz w:val="26"/>
          <w:szCs w:val="26"/>
        </w:rPr>
        <w:t>Příklad na určení výše položky 8115</w:t>
      </w:r>
    </w:p>
    <w:p w:rsidR="00E0096A" w:rsidRPr="00146C84" w:rsidRDefault="00E0096A" w:rsidP="00E0096A">
      <w:pPr>
        <w:spacing w:line="240" w:lineRule="auto"/>
        <w:contextualSpacing/>
        <w:jc w:val="both"/>
        <w:rPr>
          <w:rFonts w:cs="Times New Roman"/>
          <w:i/>
          <w:sz w:val="26"/>
          <w:szCs w:val="26"/>
        </w:rPr>
      </w:pPr>
      <w:r w:rsidRPr="00146C84">
        <w:rPr>
          <w:rFonts w:cs="Times New Roman"/>
          <w:i/>
          <w:sz w:val="26"/>
          <w:szCs w:val="26"/>
        </w:rPr>
        <w:t>Obec měla</w:t>
      </w:r>
      <w:r>
        <w:rPr>
          <w:rFonts w:cs="Times New Roman"/>
          <w:i/>
          <w:sz w:val="26"/>
          <w:szCs w:val="26"/>
        </w:rPr>
        <w:t xml:space="preserve"> stav peněz na účtech</w:t>
      </w:r>
      <w:r w:rsidRPr="00146C84">
        <w:rPr>
          <w:rFonts w:cs="Times New Roman"/>
          <w:i/>
          <w:sz w:val="26"/>
          <w:szCs w:val="26"/>
        </w:rPr>
        <w:t xml:space="preserve"> k 1. 1. ve výši 5 mil. Kč a k 31. 12. ve výši 7 mil. Kč. </w:t>
      </w:r>
      <w:r>
        <w:rPr>
          <w:rFonts w:cs="Times New Roman"/>
          <w:i/>
          <w:sz w:val="26"/>
          <w:szCs w:val="26"/>
        </w:rPr>
        <w:t>Určíme</w:t>
      </w:r>
      <w:r w:rsidRPr="00146C84">
        <w:rPr>
          <w:rFonts w:cs="Times New Roman"/>
          <w:i/>
          <w:sz w:val="26"/>
          <w:szCs w:val="26"/>
        </w:rPr>
        <w:t xml:space="preserve"> výši položky 8115. </w:t>
      </w:r>
    </w:p>
    <w:p w:rsidR="00E0096A" w:rsidRPr="00146C84" w:rsidRDefault="00E0096A" w:rsidP="00E0096A">
      <w:pPr>
        <w:spacing w:line="240" w:lineRule="auto"/>
        <w:contextualSpacing/>
        <w:jc w:val="both"/>
        <w:rPr>
          <w:rFonts w:cs="Times New Roman"/>
          <w:i/>
          <w:sz w:val="26"/>
          <w:szCs w:val="26"/>
        </w:rPr>
      </w:pPr>
      <w:r w:rsidRPr="00146C84">
        <w:rPr>
          <w:rFonts w:cs="Times New Roman"/>
          <w:i/>
          <w:sz w:val="26"/>
          <w:szCs w:val="26"/>
        </w:rPr>
        <w:t xml:space="preserve">Výpočet: počáteční stav 5 – konečný stav 7 = - 2 </w:t>
      </w:r>
    </w:p>
    <w:p w:rsidR="00E0096A" w:rsidRDefault="00E0096A" w:rsidP="00E0096A">
      <w:pPr>
        <w:spacing w:after="120" w:line="240" w:lineRule="auto"/>
        <w:jc w:val="both"/>
        <w:rPr>
          <w:rFonts w:cs="Times New Roman"/>
          <w:i/>
          <w:sz w:val="26"/>
          <w:szCs w:val="26"/>
        </w:rPr>
      </w:pPr>
      <w:r w:rsidRPr="00146C84">
        <w:rPr>
          <w:rFonts w:cs="Times New Roman"/>
          <w:i/>
          <w:sz w:val="26"/>
          <w:szCs w:val="26"/>
        </w:rPr>
        <w:t>Položka 8115 je záporná = peníze přibyly (konečný stav je vyšší než počáteční)</w:t>
      </w:r>
      <w:r>
        <w:rPr>
          <w:rFonts w:cs="Times New Roman"/>
          <w:i/>
          <w:sz w:val="26"/>
          <w:szCs w:val="26"/>
        </w:rPr>
        <w:t>.</w:t>
      </w:r>
    </w:p>
    <w:p w:rsidR="00E0096A" w:rsidRDefault="00E0096A" w:rsidP="00E0096A">
      <w:pPr>
        <w:spacing w:after="0" w:line="240" w:lineRule="auto"/>
        <w:jc w:val="both"/>
        <w:rPr>
          <w:rFonts w:cs="Times New Roman"/>
          <w:i/>
          <w:sz w:val="26"/>
          <w:szCs w:val="26"/>
        </w:rPr>
      </w:pPr>
      <w:r w:rsidRPr="00146C84">
        <w:rPr>
          <w:rFonts w:cs="Times New Roman"/>
          <w:i/>
          <w:sz w:val="26"/>
          <w:szCs w:val="26"/>
        </w:rPr>
        <w:t>Obec měla</w:t>
      </w:r>
      <w:r>
        <w:rPr>
          <w:rFonts w:cs="Times New Roman"/>
          <w:i/>
          <w:sz w:val="26"/>
          <w:szCs w:val="26"/>
        </w:rPr>
        <w:t xml:space="preserve"> stav peněz na účtech</w:t>
      </w:r>
      <w:r w:rsidRPr="00146C84">
        <w:rPr>
          <w:rFonts w:cs="Times New Roman"/>
          <w:i/>
          <w:sz w:val="26"/>
          <w:szCs w:val="26"/>
        </w:rPr>
        <w:t xml:space="preserve"> k 1. 1. ve výši </w:t>
      </w:r>
      <w:r>
        <w:rPr>
          <w:rFonts w:cs="Times New Roman"/>
          <w:i/>
          <w:sz w:val="26"/>
          <w:szCs w:val="26"/>
        </w:rPr>
        <w:t>5</w:t>
      </w:r>
      <w:r w:rsidRPr="00146C84">
        <w:rPr>
          <w:rFonts w:cs="Times New Roman"/>
          <w:i/>
          <w:sz w:val="26"/>
          <w:szCs w:val="26"/>
        </w:rPr>
        <w:t xml:space="preserve"> mil. Kč a k 31. 12. ve výši </w:t>
      </w:r>
      <w:r>
        <w:rPr>
          <w:rFonts w:cs="Times New Roman"/>
          <w:i/>
          <w:sz w:val="26"/>
          <w:szCs w:val="26"/>
        </w:rPr>
        <w:t>2</w:t>
      </w:r>
      <w:r w:rsidRPr="00146C84">
        <w:rPr>
          <w:rFonts w:cs="Times New Roman"/>
          <w:i/>
          <w:sz w:val="26"/>
          <w:szCs w:val="26"/>
        </w:rPr>
        <w:t xml:space="preserve"> mil. Kč. </w:t>
      </w:r>
      <w:r>
        <w:rPr>
          <w:rFonts w:cs="Times New Roman"/>
          <w:i/>
          <w:sz w:val="26"/>
          <w:szCs w:val="26"/>
        </w:rPr>
        <w:t>Určíme</w:t>
      </w:r>
      <w:r w:rsidRPr="00146C84">
        <w:rPr>
          <w:rFonts w:cs="Times New Roman"/>
          <w:i/>
          <w:sz w:val="26"/>
          <w:szCs w:val="26"/>
        </w:rPr>
        <w:t xml:space="preserve"> výši položky 8115</w:t>
      </w:r>
      <w:r>
        <w:rPr>
          <w:rFonts w:cs="Times New Roman"/>
          <w:i/>
          <w:sz w:val="26"/>
          <w:szCs w:val="26"/>
        </w:rPr>
        <w:t>.</w:t>
      </w:r>
    </w:p>
    <w:p w:rsidR="00E0096A" w:rsidRPr="00146C84" w:rsidRDefault="00E0096A" w:rsidP="00E0096A">
      <w:pPr>
        <w:spacing w:line="240" w:lineRule="auto"/>
        <w:contextualSpacing/>
        <w:jc w:val="both"/>
        <w:rPr>
          <w:rFonts w:cs="Times New Roman"/>
          <w:i/>
          <w:sz w:val="26"/>
          <w:szCs w:val="26"/>
        </w:rPr>
      </w:pPr>
      <w:r w:rsidRPr="00146C84">
        <w:rPr>
          <w:rFonts w:cs="Times New Roman"/>
          <w:i/>
          <w:sz w:val="26"/>
          <w:szCs w:val="26"/>
        </w:rPr>
        <w:t xml:space="preserve">Výpočet: počáteční stav </w:t>
      </w:r>
      <w:r>
        <w:rPr>
          <w:rFonts w:cs="Times New Roman"/>
          <w:i/>
          <w:sz w:val="26"/>
          <w:szCs w:val="26"/>
        </w:rPr>
        <w:t>5</w:t>
      </w:r>
      <w:r w:rsidRPr="00146C84">
        <w:rPr>
          <w:rFonts w:cs="Times New Roman"/>
          <w:i/>
          <w:sz w:val="26"/>
          <w:szCs w:val="26"/>
        </w:rPr>
        <w:t xml:space="preserve"> – konečný stav </w:t>
      </w:r>
      <w:r>
        <w:rPr>
          <w:rFonts w:cs="Times New Roman"/>
          <w:i/>
          <w:sz w:val="26"/>
          <w:szCs w:val="26"/>
        </w:rPr>
        <w:t>2</w:t>
      </w:r>
      <w:r w:rsidRPr="00146C84">
        <w:rPr>
          <w:rFonts w:cs="Times New Roman"/>
          <w:i/>
          <w:sz w:val="26"/>
          <w:szCs w:val="26"/>
        </w:rPr>
        <w:t xml:space="preserve"> = </w:t>
      </w:r>
      <w:r>
        <w:rPr>
          <w:rFonts w:cs="Times New Roman"/>
          <w:i/>
          <w:sz w:val="26"/>
          <w:szCs w:val="26"/>
        </w:rPr>
        <w:t>+ 3</w:t>
      </w:r>
    </w:p>
    <w:p w:rsidR="00E0096A" w:rsidRPr="00113035" w:rsidRDefault="00E0096A" w:rsidP="00E0096A">
      <w:pPr>
        <w:spacing w:line="240" w:lineRule="auto"/>
        <w:jc w:val="both"/>
        <w:rPr>
          <w:rFonts w:cs="Times New Roman"/>
          <w:i/>
          <w:sz w:val="26"/>
          <w:szCs w:val="26"/>
        </w:rPr>
      </w:pPr>
      <w:r w:rsidRPr="00146C84">
        <w:rPr>
          <w:rFonts w:cs="Times New Roman"/>
          <w:i/>
          <w:sz w:val="26"/>
          <w:szCs w:val="26"/>
        </w:rPr>
        <w:t xml:space="preserve">Položka 8115 je </w:t>
      </w:r>
      <w:r>
        <w:rPr>
          <w:rFonts w:cs="Times New Roman"/>
          <w:i/>
          <w:sz w:val="26"/>
          <w:szCs w:val="26"/>
        </w:rPr>
        <w:t>kladná</w:t>
      </w:r>
      <w:r w:rsidRPr="00146C84">
        <w:rPr>
          <w:rFonts w:cs="Times New Roman"/>
          <w:i/>
          <w:sz w:val="26"/>
          <w:szCs w:val="26"/>
        </w:rPr>
        <w:t xml:space="preserve"> = peníze </w:t>
      </w:r>
      <w:r>
        <w:rPr>
          <w:rFonts w:cs="Times New Roman"/>
          <w:i/>
          <w:sz w:val="26"/>
          <w:szCs w:val="26"/>
        </w:rPr>
        <w:t>ubyly</w:t>
      </w:r>
      <w:r w:rsidRPr="00146C84">
        <w:rPr>
          <w:rFonts w:cs="Times New Roman"/>
          <w:i/>
          <w:sz w:val="26"/>
          <w:szCs w:val="26"/>
        </w:rPr>
        <w:t xml:space="preserve"> (konečný stav je </w:t>
      </w:r>
      <w:r>
        <w:rPr>
          <w:rFonts w:cs="Times New Roman"/>
          <w:i/>
          <w:sz w:val="26"/>
          <w:szCs w:val="26"/>
        </w:rPr>
        <w:t>menší než</w:t>
      </w:r>
      <w:r w:rsidRPr="00146C84">
        <w:rPr>
          <w:rFonts w:cs="Times New Roman"/>
          <w:i/>
          <w:sz w:val="26"/>
          <w:szCs w:val="26"/>
        </w:rPr>
        <w:t xml:space="preserve"> počáteční)</w:t>
      </w:r>
      <w:r>
        <w:rPr>
          <w:rFonts w:cs="Times New Roman"/>
          <w:i/>
          <w:sz w:val="26"/>
          <w:szCs w:val="26"/>
        </w:rPr>
        <w:t>.</w:t>
      </w:r>
    </w:p>
    <w:p w:rsidR="00E0096A" w:rsidRDefault="00E0096A" w:rsidP="00E0096A">
      <w:pPr>
        <w:spacing w:before="160" w:after="120" w:line="240" w:lineRule="auto"/>
        <w:jc w:val="both"/>
        <w:rPr>
          <w:rFonts w:cs="Times New Roman"/>
          <w:sz w:val="26"/>
          <w:szCs w:val="26"/>
        </w:rPr>
      </w:pPr>
      <w:r>
        <w:rPr>
          <w:rFonts w:cs="Times New Roman"/>
          <w:sz w:val="26"/>
          <w:szCs w:val="26"/>
        </w:rPr>
        <w:t>S</w:t>
      </w:r>
      <w:r w:rsidRPr="003C14D2">
        <w:rPr>
          <w:rFonts w:cs="Times New Roman"/>
          <w:sz w:val="26"/>
          <w:szCs w:val="26"/>
        </w:rPr>
        <w:t>oftware generuje</w:t>
      </w:r>
      <w:r>
        <w:rPr>
          <w:rFonts w:cs="Times New Roman"/>
          <w:sz w:val="26"/>
          <w:szCs w:val="26"/>
        </w:rPr>
        <w:t xml:space="preserve"> p</w:t>
      </w:r>
      <w:r w:rsidRPr="006C5C8B">
        <w:rPr>
          <w:rFonts w:cs="Times New Roman"/>
          <w:sz w:val="26"/>
          <w:szCs w:val="26"/>
        </w:rPr>
        <w:t>lnění</w:t>
      </w:r>
      <w:r>
        <w:rPr>
          <w:rFonts w:cs="Times New Roman"/>
          <w:sz w:val="26"/>
          <w:szCs w:val="26"/>
        </w:rPr>
        <w:t xml:space="preserve"> </w:t>
      </w:r>
      <w:r w:rsidRPr="003C14D2">
        <w:rPr>
          <w:rFonts w:cs="Times New Roman"/>
          <w:sz w:val="26"/>
          <w:szCs w:val="26"/>
        </w:rPr>
        <w:t>na položc</w:t>
      </w:r>
      <w:r>
        <w:rPr>
          <w:rFonts w:cs="Times New Roman"/>
          <w:sz w:val="26"/>
          <w:szCs w:val="26"/>
        </w:rPr>
        <w:t>e</w:t>
      </w:r>
      <w:r w:rsidRPr="003C14D2">
        <w:rPr>
          <w:rFonts w:cs="Times New Roman"/>
          <w:sz w:val="26"/>
          <w:szCs w:val="26"/>
        </w:rPr>
        <w:t xml:space="preserve"> 8115 pouze podle změny stavu prostředků na příslušných účtech (231, 236, příp. 261) za období jednoho roku, resp. vždy od počátku roku do okamžiku, ke kterému se </w:t>
      </w:r>
      <w:r>
        <w:rPr>
          <w:rFonts w:cs="Times New Roman"/>
          <w:sz w:val="26"/>
          <w:szCs w:val="26"/>
        </w:rPr>
        <w:t>stav položky zjišťuje (měsíc, čtvrtletí, pololetí, či celý rok). Položka 8115 vyjadřuje pouze změnu stavu peněz, nic nevypovídá o výši počátečního a konečného stavu, jen o tom, zda peníze ve sledovaném období přibyly nebo ubyly.</w:t>
      </w:r>
    </w:p>
    <w:p w:rsidR="00E0096A" w:rsidRPr="003C14D2" w:rsidRDefault="00E0096A" w:rsidP="00E0096A">
      <w:pPr>
        <w:spacing w:after="120" w:line="240" w:lineRule="auto"/>
        <w:jc w:val="both"/>
        <w:rPr>
          <w:rFonts w:cs="Times New Roman"/>
          <w:sz w:val="26"/>
          <w:szCs w:val="26"/>
        </w:rPr>
      </w:pPr>
      <w:r>
        <w:rPr>
          <w:rFonts w:cs="Times New Roman"/>
          <w:sz w:val="26"/>
          <w:szCs w:val="26"/>
        </w:rPr>
        <w:t xml:space="preserve">O položce 8115 se reálně neúčtuje, ekonomický software její plnění generuje automaticky po každém zaúčtovaném pohybu peněz na příslušných účtech. </w:t>
      </w:r>
      <w:r w:rsidRPr="003C14D2">
        <w:rPr>
          <w:rFonts w:cs="Times New Roman"/>
          <w:sz w:val="26"/>
          <w:szCs w:val="26"/>
        </w:rPr>
        <w:t xml:space="preserve">Pro názornost </w:t>
      </w:r>
      <w:r>
        <w:rPr>
          <w:rFonts w:cs="Times New Roman"/>
          <w:sz w:val="26"/>
          <w:szCs w:val="26"/>
        </w:rPr>
        <w:t>si ukážeme několik příkladů pohybu peněz na základním běžném účtu (účet 231):</w:t>
      </w:r>
    </w:p>
    <w:p w:rsidR="00E0096A" w:rsidRPr="00AB33EC" w:rsidRDefault="00E0096A" w:rsidP="00E0096A">
      <w:pPr>
        <w:spacing w:after="120" w:line="240" w:lineRule="auto"/>
        <w:jc w:val="both"/>
        <w:rPr>
          <w:rFonts w:cs="Times New Roman"/>
          <w:b/>
          <w:i/>
          <w:sz w:val="26"/>
          <w:szCs w:val="26"/>
        </w:rPr>
      </w:pPr>
      <w:r w:rsidRPr="00AB33EC">
        <w:rPr>
          <w:rFonts w:cs="Times New Roman"/>
          <w:b/>
          <w:i/>
          <w:sz w:val="26"/>
          <w:szCs w:val="26"/>
        </w:rPr>
        <w:lastRenderedPageBreak/>
        <w:t>Příklad</w:t>
      </w:r>
    </w:p>
    <w:p w:rsidR="00E0096A" w:rsidRPr="00045A75" w:rsidRDefault="00E0096A" w:rsidP="00E0096A">
      <w:pPr>
        <w:spacing w:line="240" w:lineRule="auto"/>
        <w:contextualSpacing/>
        <w:jc w:val="both"/>
        <w:rPr>
          <w:rFonts w:cs="Times New Roman"/>
          <w:b/>
          <w:i/>
          <w:sz w:val="26"/>
          <w:szCs w:val="26"/>
        </w:rPr>
      </w:pPr>
      <w:r w:rsidRPr="00045A75">
        <w:rPr>
          <w:rFonts w:cs="Times New Roman"/>
          <w:b/>
          <w:i/>
          <w:sz w:val="26"/>
          <w:szCs w:val="26"/>
        </w:rPr>
        <w:t xml:space="preserve"> </w:t>
      </w:r>
      <w:r>
        <w:rPr>
          <w:rFonts w:cs="Times New Roman"/>
          <w:b/>
          <w:i/>
          <w:sz w:val="26"/>
          <w:szCs w:val="26"/>
        </w:rPr>
        <w:t>A)</w:t>
      </w:r>
      <w:r w:rsidRPr="00045A75">
        <w:rPr>
          <w:rFonts w:cs="Times New Roman"/>
          <w:b/>
          <w:i/>
          <w:sz w:val="26"/>
          <w:szCs w:val="26"/>
        </w:rPr>
        <w:t xml:space="preserve"> zaúčtování přijatého správního poplatku </w:t>
      </w:r>
      <w:r>
        <w:rPr>
          <w:rFonts w:cs="Times New Roman"/>
          <w:b/>
          <w:i/>
          <w:sz w:val="26"/>
          <w:szCs w:val="26"/>
        </w:rPr>
        <w:t>(100 Kč)</w:t>
      </w:r>
      <w:r w:rsidRPr="00045A75">
        <w:rPr>
          <w:rFonts w:cs="Times New Roman"/>
          <w:b/>
          <w:i/>
          <w:sz w:val="26"/>
          <w:szCs w:val="26"/>
        </w:rPr>
        <w:t xml:space="preserve"> </w:t>
      </w:r>
    </w:p>
    <w:p w:rsidR="00E0096A" w:rsidRDefault="00E0096A" w:rsidP="00E0096A">
      <w:pPr>
        <w:spacing w:line="240" w:lineRule="auto"/>
        <w:contextualSpacing/>
        <w:jc w:val="both"/>
        <w:rPr>
          <w:rFonts w:cs="Times New Roman"/>
          <w:sz w:val="26"/>
          <w:szCs w:val="26"/>
        </w:rPr>
      </w:pPr>
      <w:r w:rsidRPr="00884C94">
        <w:rPr>
          <w:rFonts w:cs="Times New Roman"/>
          <w:sz w:val="26"/>
          <w:szCs w:val="26"/>
        </w:rPr>
        <w:t>Zaúčtování: 231 MD (pol. 1361) / 605 D</w:t>
      </w:r>
      <w:r>
        <w:rPr>
          <w:rFonts w:cs="Times New Roman"/>
          <w:sz w:val="26"/>
          <w:szCs w:val="26"/>
        </w:rPr>
        <w:t xml:space="preserve"> </w:t>
      </w:r>
    </w:p>
    <w:p w:rsidR="00E0096A" w:rsidRPr="00884C94" w:rsidRDefault="00E0096A" w:rsidP="00E0096A">
      <w:pPr>
        <w:spacing w:after="120" w:line="240" w:lineRule="auto"/>
        <w:jc w:val="both"/>
        <w:rPr>
          <w:rFonts w:cs="Times New Roman"/>
          <w:sz w:val="26"/>
          <w:szCs w:val="26"/>
        </w:rPr>
      </w:pPr>
      <w:r>
        <w:rPr>
          <w:rFonts w:cs="Times New Roman"/>
          <w:sz w:val="26"/>
          <w:szCs w:val="26"/>
        </w:rPr>
        <w:t xml:space="preserve">Operace má následující dopad na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Příj</w:t>
            </w:r>
            <w:r>
              <w:rPr>
                <w:color w:val="000000"/>
              </w:rPr>
              <w:t>em</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Default="00E0096A" w:rsidP="00A01625">
            <w:pPr>
              <w:spacing w:after="0" w:line="240" w:lineRule="auto"/>
              <w:jc w:val="right"/>
              <w:rPr>
                <w:color w:val="000000"/>
              </w:rPr>
            </w:pPr>
            <w:r>
              <w:rPr>
                <w:color w:val="000000"/>
              </w:rPr>
              <w:t>-100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jc w:val="right"/>
              <w:rPr>
                <w:b/>
                <w:i/>
                <w:color w:val="000000"/>
              </w:rPr>
            </w:pPr>
            <w:r w:rsidRPr="00045A75">
              <w:rPr>
                <w:b/>
                <w:i/>
                <w:color w:val="000000"/>
              </w:rPr>
              <w:t>-100</w:t>
            </w:r>
          </w:p>
        </w:tc>
      </w:tr>
    </w:tbl>
    <w:p w:rsidR="00E0096A" w:rsidRDefault="00E0096A" w:rsidP="00E0096A">
      <w:pPr>
        <w:spacing w:before="160" w:line="240" w:lineRule="auto"/>
        <w:jc w:val="both"/>
        <w:rPr>
          <w:rFonts w:cs="Times New Roman"/>
          <w:sz w:val="26"/>
          <w:szCs w:val="26"/>
        </w:rPr>
      </w:pPr>
      <w:r>
        <w:rPr>
          <w:rFonts w:cs="Times New Roman"/>
          <w:sz w:val="26"/>
          <w:szCs w:val="26"/>
        </w:rPr>
        <w:t>Zaúčtovali jsme příjem ve výši 100 Kč, a protože se jedná o přírůstek stavu peněz na účtu, s</w:t>
      </w:r>
      <w:r w:rsidRPr="003C14D2">
        <w:rPr>
          <w:rFonts w:cs="Times New Roman"/>
          <w:sz w:val="26"/>
          <w:szCs w:val="26"/>
        </w:rPr>
        <w:t>oftware automaticky generuje položku 8115</w:t>
      </w:r>
      <w:r>
        <w:rPr>
          <w:rFonts w:cs="Times New Roman"/>
          <w:sz w:val="26"/>
          <w:szCs w:val="26"/>
        </w:rPr>
        <w:t xml:space="preserve"> v záporné výši (-</w:t>
      </w:r>
      <w:r w:rsidRPr="003C14D2">
        <w:rPr>
          <w:rFonts w:cs="Times New Roman"/>
          <w:sz w:val="26"/>
          <w:szCs w:val="26"/>
        </w:rPr>
        <w:t xml:space="preserve"> 100</w:t>
      </w:r>
      <w:r>
        <w:rPr>
          <w:rFonts w:cs="Times New Roman"/>
          <w:sz w:val="26"/>
          <w:szCs w:val="26"/>
        </w:rPr>
        <w:t xml:space="preserve">). Záporná položka 8115 znamená, že peníze přibyly. </w:t>
      </w:r>
    </w:p>
    <w:p w:rsidR="00E0096A" w:rsidRDefault="00E0096A" w:rsidP="00E0096A">
      <w:pPr>
        <w:spacing w:line="240" w:lineRule="auto"/>
        <w:contextualSpacing/>
        <w:jc w:val="both"/>
        <w:rPr>
          <w:rFonts w:cs="Times New Roman"/>
          <w:sz w:val="26"/>
          <w:szCs w:val="26"/>
        </w:rPr>
      </w:pPr>
      <w:r>
        <w:rPr>
          <w:rFonts w:cs="Times New Roman"/>
          <w:sz w:val="26"/>
          <w:szCs w:val="26"/>
        </w:rPr>
        <w:t xml:space="preserve">Položka 8115 vyjadřuje rozdíl mezi počátečním stavem a konečným stavem peněz na účtech. Pokud by např. stav peněz na účtech před zaúčtováním operace byl 6 345 843 Kč, po zaúčtování příjmu ve výši 100 Kč je zůstatek 6 345 943 Kč. Rozdíl mezi počáteční a konečným stavem = 6 345 843 - 6 345 943 = - 100 (pohyb na položce 8115). </w:t>
      </w:r>
    </w:p>
    <w:p w:rsidR="00E0096A" w:rsidRPr="003C14D2" w:rsidRDefault="00E0096A" w:rsidP="00E0096A">
      <w:pPr>
        <w:spacing w:line="240" w:lineRule="auto"/>
        <w:contextualSpacing/>
        <w:jc w:val="both"/>
        <w:rPr>
          <w:rFonts w:cs="Times New Roman"/>
          <w:sz w:val="26"/>
          <w:szCs w:val="26"/>
        </w:rPr>
      </w:pPr>
    </w:p>
    <w:p w:rsidR="00E0096A" w:rsidRDefault="00E0096A" w:rsidP="00E0096A">
      <w:pPr>
        <w:spacing w:line="240" w:lineRule="auto"/>
        <w:contextualSpacing/>
        <w:jc w:val="both"/>
        <w:rPr>
          <w:rFonts w:cs="Times New Roman"/>
          <w:b/>
          <w:i/>
          <w:sz w:val="26"/>
          <w:szCs w:val="26"/>
        </w:rPr>
      </w:pPr>
      <w:r>
        <w:rPr>
          <w:rFonts w:cs="Times New Roman"/>
          <w:b/>
          <w:i/>
          <w:sz w:val="26"/>
          <w:szCs w:val="26"/>
        </w:rPr>
        <w:t>B)</w:t>
      </w:r>
      <w:r w:rsidRPr="00045A75">
        <w:rPr>
          <w:rFonts w:cs="Times New Roman"/>
          <w:b/>
          <w:i/>
          <w:sz w:val="26"/>
          <w:szCs w:val="26"/>
        </w:rPr>
        <w:t xml:space="preserve"> zaúčtování </w:t>
      </w:r>
      <w:r>
        <w:rPr>
          <w:rFonts w:cs="Times New Roman"/>
          <w:b/>
          <w:i/>
          <w:sz w:val="26"/>
          <w:szCs w:val="26"/>
        </w:rPr>
        <w:t xml:space="preserve">úhrady faktury za poskytnuté právní služby (2 000 Kč) </w:t>
      </w:r>
    </w:p>
    <w:p w:rsidR="00E0096A" w:rsidRDefault="00E0096A" w:rsidP="00E0096A">
      <w:pPr>
        <w:spacing w:line="240" w:lineRule="auto"/>
        <w:contextualSpacing/>
        <w:jc w:val="both"/>
        <w:rPr>
          <w:rFonts w:cs="Times New Roman"/>
          <w:sz w:val="26"/>
          <w:szCs w:val="26"/>
        </w:rPr>
      </w:pPr>
      <w:r w:rsidRPr="00884C94">
        <w:rPr>
          <w:rFonts w:cs="Times New Roman"/>
          <w:sz w:val="26"/>
          <w:szCs w:val="26"/>
        </w:rPr>
        <w:t xml:space="preserve">Zaúčtování: </w:t>
      </w:r>
      <w:r>
        <w:rPr>
          <w:rFonts w:cs="Times New Roman"/>
          <w:sz w:val="26"/>
          <w:szCs w:val="26"/>
        </w:rPr>
        <w:t>321</w:t>
      </w:r>
      <w:r w:rsidRPr="00884C94">
        <w:rPr>
          <w:rFonts w:cs="Times New Roman"/>
          <w:sz w:val="26"/>
          <w:szCs w:val="26"/>
        </w:rPr>
        <w:t xml:space="preserve"> MD / </w:t>
      </w:r>
      <w:r>
        <w:rPr>
          <w:rFonts w:cs="Times New Roman"/>
          <w:sz w:val="26"/>
          <w:szCs w:val="26"/>
        </w:rPr>
        <w:t>231 paragraf 6171 položka 5166</w:t>
      </w:r>
      <w:r w:rsidRPr="00884C94">
        <w:rPr>
          <w:rFonts w:cs="Times New Roman"/>
          <w:sz w:val="26"/>
          <w:szCs w:val="26"/>
        </w:rPr>
        <w:t xml:space="preserve"> D</w:t>
      </w:r>
      <w:r>
        <w:rPr>
          <w:rFonts w:cs="Times New Roman"/>
          <w:sz w:val="26"/>
          <w:szCs w:val="26"/>
        </w:rPr>
        <w:t xml:space="preserve">  </w:t>
      </w:r>
    </w:p>
    <w:p w:rsidR="00E0096A" w:rsidRPr="00884C94" w:rsidRDefault="00E0096A" w:rsidP="00E0096A">
      <w:pPr>
        <w:spacing w:after="120" w:line="240" w:lineRule="auto"/>
        <w:jc w:val="both"/>
        <w:rPr>
          <w:rFonts w:cs="Times New Roman"/>
          <w:sz w:val="26"/>
          <w:szCs w:val="26"/>
        </w:rPr>
      </w:pPr>
      <w:r>
        <w:rPr>
          <w:rFonts w:cs="Times New Roman"/>
          <w:sz w:val="26"/>
          <w:szCs w:val="26"/>
        </w:rPr>
        <w:t xml:space="preserve">Operace má následující dopad na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Příj</w:t>
            </w:r>
            <w:r>
              <w:rPr>
                <w:color w:val="000000"/>
              </w:rPr>
              <w:t>em</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2 000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- 2 000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jc w:val="right"/>
              <w:rPr>
                <w:color w:val="000000"/>
              </w:rPr>
            </w:pPr>
            <w:r>
              <w:rPr>
                <w:color w:val="000000"/>
              </w:rPr>
              <w:t>2 000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83172" w:rsidRDefault="00E0096A" w:rsidP="00A01625">
            <w:pPr>
              <w:spacing w:after="0" w:line="240" w:lineRule="auto"/>
              <w:rPr>
                <w:b/>
                <w:i/>
                <w:color w:val="000000"/>
              </w:rPr>
            </w:pPr>
            <w:r w:rsidRPr="00083172">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083172" w:rsidRDefault="00E0096A" w:rsidP="00A01625">
            <w:pPr>
              <w:spacing w:after="0" w:line="240" w:lineRule="auto"/>
              <w:jc w:val="right"/>
              <w:rPr>
                <w:b/>
                <w:i/>
                <w:color w:val="000000"/>
              </w:rPr>
            </w:pPr>
            <w:r w:rsidRPr="00083172">
              <w:rPr>
                <w:b/>
                <w:i/>
                <w:color w:val="000000"/>
              </w:rPr>
              <w:t>2 000</w:t>
            </w:r>
          </w:p>
        </w:tc>
      </w:tr>
    </w:tbl>
    <w:p w:rsidR="00E0096A" w:rsidRDefault="00E0096A" w:rsidP="00E0096A">
      <w:pPr>
        <w:spacing w:before="160" w:line="240" w:lineRule="auto"/>
        <w:jc w:val="both"/>
        <w:rPr>
          <w:rFonts w:cs="Times New Roman"/>
          <w:sz w:val="26"/>
          <w:szCs w:val="26"/>
        </w:rPr>
      </w:pPr>
      <w:r>
        <w:rPr>
          <w:rFonts w:cs="Times New Roman"/>
          <w:sz w:val="26"/>
          <w:szCs w:val="26"/>
        </w:rPr>
        <w:t>Zaúčtovali jsme výdaj ve výši 2 000 Kč, a protože se jedná o úbytek stavu peněz na účtu, s</w:t>
      </w:r>
      <w:r w:rsidRPr="003C14D2">
        <w:rPr>
          <w:rFonts w:cs="Times New Roman"/>
          <w:sz w:val="26"/>
          <w:szCs w:val="26"/>
        </w:rPr>
        <w:t>oftware automaticky generuje položku 8115</w:t>
      </w:r>
      <w:r>
        <w:rPr>
          <w:rFonts w:cs="Times New Roman"/>
          <w:sz w:val="26"/>
          <w:szCs w:val="26"/>
        </w:rPr>
        <w:t xml:space="preserve"> v kladné výši (+ 2 000). Kladná položka 8115 znamená, že peníze ubyly. </w:t>
      </w:r>
    </w:p>
    <w:p w:rsidR="00E0096A" w:rsidRDefault="00E0096A" w:rsidP="00E0096A">
      <w:pPr>
        <w:spacing w:line="240" w:lineRule="auto"/>
        <w:contextualSpacing/>
        <w:jc w:val="both"/>
        <w:rPr>
          <w:rFonts w:cs="Times New Roman"/>
          <w:sz w:val="26"/>
          <w:szCs w:val="26"/>
        </w:rPr>
      </w:pPr>
      <w:r>
        <w:rPr>
          <w:rFonts w:cs="Times New Roman"/>
          <w:sz w:val="26"/>
          <w:szCs w:val="26"/>
        </w:rPr>
        <w:t xml:space="preserve">Položka 8115 vyjadřuje rozdíl mezi počátečním stavem a konečným stavem peněz na účtech. Pokud by např. stav peněz na účtech před zaúčtováním operace byl 6 345 943 Kč, po zaúčtování výdaje ve výši 2 000 Kč je zůstatek 6 343 943 Kč. Rozdíl mezi počáteční a konečným stavem = 6 345 943 - 6 343 943 = 2 000 (pohyb na položce 8115). </w:t>
      </w:r>
    </w:p>
    <w:p w:rsidR="00E0096A" w:rsidRDefault="00E0096A" w:rsidP="00E0096A">
      <w:pPr>
        <w:spacing w:line="240" w:lineRule="auto"/>
        <w:contextualSpacing/>
        <w:jc w:val="both"/>
        <w:rPr>
          <w:rFonts w:cs="Times New Roman"/>
          <w:b/>
          <w:i/>
          <w:sz w:val="26"/>
          <w:szCs w:val="26"/>
        </w:rPr>
      </w:pPr>
    </w:p>
    <w:p w:rsidR="00E0096A" w:rsidRDefault="00E0096A" w:rsidP="00E0096A">
      <w:pPr>
        <w:spacing w:line="240" w:lineRule="auto"/>
        <w:contextualSpacing/>
        <w:jc w:val="both"/>
        <w:rPr>
          <w:rFonts w:cs="Times New Roman"/>
          <w:b/>
          <w:i/>
          <w:sz w:val="26"/>
          <w:szCs w:val="26"/>
        </w:rPr>
      </w:pPr>
      <w:r>
        <w:rPr>
          <w:rFonts w:cs="Times New Roman"/>
          <w:b/>
          <w:i/>
          <w:sz w:val="26"/>
          <w:szCs w:val="26"/>
        </w:rPr>
        <w:t xml:space="preserve">C) </w:t>
      </w:r>
      <w:r w:rsidRPr="00045A75">
        <w:rPr>
          <w:rFonts w:cs="Times New Roman"/>
          <w:b/>
          <w:i/>
          <w:sz w:val="26"/>
          <w:szCs w:val="26"/>
        </w:rPr>
        <w:t xml:space="preserve">zaúčtování </w:t>
      </w:r>
      <w:r>
        <w:rPr>
          <w:rFonts w:cs="Times New Roman"/>
          <w:b/>
          <w:i/>
          <w:sz w:val="26"/>
          <w:szCs w:val="26"/>
        </w:rPr>
        <w:t xml:space="preserve">úhrady faktury za technické zhodnocení budovy základní školy (100 000 Kč) </w:t>
      </w:r>
    </w:p>
    <w:p w:rsidR="00E0096A" w:rsidRDefault="00E0096A" w:rsidP="00E0096A">
      <w:pPr>
        <w:spacing w:line="240" w:lineRule="auto"/>
        <w:contextualSpacing/>
        <w:jc w:val="both"/>
        <w:rPr>
          <w:rFonts w:cs="Times New Roman"/>
          <w:sz w:val="26"/>
          <w:szCs w:val="26"/>
        </w:rPr>
      </w:pPr>
      <w:r w:rsidRPr="00884C94">
        <w:rPr>
          <w:rFonts w:cs="Times New Roman"/>
          <w:sz w:val="26"/>
          <w:szCs w:val="26"/>
        </w:rPr>
        <w:t xml:space="preserve">Zaúčtování: </w:t>
      </w:r>
      <w:r>
        <w:rPr>
          <w:rFonts w:cs="Times New Roman"/>
          <w:sz w:val="26"/>
          <w:szCs w:val="26"/>
        </w:rPr>
        <w:t>321</w:t>
      </w:r>
      <w:r w:rsidRPr="00884C94">
        <w:rPr>
          <w:rFonts w:cs="Times New Roman"/>
          <w:sz w:val="26"/>
          <w:szCs w:val="26"/>
        </w:rPr>
        <w:t xml:space="preserve"> MD / </w:t>
      </w:r>
      <w:r>
        <w:rPr>
          <w:rFonts w:cs="Times New Roman"/>
          <w:sz w:val="26"/>
          <w:szCs w:val="26"/>
        </w:rPr>
        <w:t>231 (paragraf 3113 položka 6121)</w:t>
      </w:r>
      <w:r w:rsidRPr="00884C94">
        <w:rPr>
          <w:rFonts w:cs="Times New Roman"/>
          <w:sz w:val="26"/>
          <w:szCs w:val="26"/>
        </w:rPr>
        <w:t xml:space="preserve"> D</w:t>
      </w:r>
      <w:r>
        <w:rPr>
          <w:rFonts w:cs="Times New Roman"/>
          <w:sz w:val="26"/>
          <w:szCs w:val="26"/>
        </w:rPr>
        <w:t xml:space="preserve">  </w:t>
      </w:r>
    </w:p>
    <w:p w:rsidR="00E0096A" w:rsidRPr="00884C94" w:rsidRDefault="00E0096A" w:rsidP="00E0096A">
      <w:pPr>
        <w:spacing w:after="120" w:line="240" w:lineRule="auto"/>
        <w:jc w:val="both"/>
        <w:rPr>
          <w:rFonts w:cs="Times New Roman"/>
          <w:sz w:val="26"/>
          <w:szCs w:val="26"/>
        </w:rPr>
      </w:pPr>
      <w:r>
        <w:rPr>
          <w:rFonts w:cs="Times New Roman"/>
          <w:sz w:val="26"/>
          <w:szCs w:val="26"/>
        </w:rPr>
        <w:t xml:space="preserve">Operace má následující dopad na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Příj</w:t>
            </w:r>
            <w:r>
              <w:rPr>
                <w:color w:val="000000"/>
              </w:rPr>
              <w:t>em</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lastRenderedPageBreak/>
              <w:t xml:space="preserve">Výdaj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100 000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- 100 000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jc w:val="right"/>
              <w:rPr>
                <w:color w:val="000000"/>
              </w:rPr>
            </w:pPr>
            <w:r>
              <w:rPr>
                <w:color w:val="000000"/>
              </w:rPr>
              <w:t>100 000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83172" w:rsidRDefault="00E0096A" w:rsidP="00A01625">
            <w:pPr>
              <w:spacing w:after="0" w:line="240" w:lineRule="auto"/>
              <w:rPr>
                <w:b/>
                <w:i/>
                <w:color w:val="000000"/>
              </w:rPr>
            </w:pPr>
            <w:r w:rsidRPr="00083172">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083172" w:rsidRDefault="00E0096A" w:rsidP="00A01625">
            <w:pPr>
              <w:spacing w:after="0" w:line="240" w:lineRule="auto"/>
              <w:jc w:val="right"/>
              <w:rPr>
                <w:b/>
                <w:i/>
                <w:color w:val="000000"/>
              </w:rPr>
            </w:pPr>
            <w:r>
              <w:rPr>
                <w:b/>
                <w:i/>
                <w:color w:val="000000"/>
              </w:rPr>
              <w:t xml:space="preserve"> 100 000</w:t>
            </w:r>
          </w:p>
        </w:tc>
      </w:tr>
    </w:tbl>
    <w:p w:rsidR="00E0096A" w:rsidRDefault="00E0096A" w:rsidP="00E0096A">
      <w:pPr>
        <w:spacing w:before="160" w:line="240" w:lineRule="auto"/>
        <w:jc w:val="both"/>
        <w:rPr>
          <w:rFonts w:cs="Times New Roman"/>
          <w:sz w:val="26"/>
          <w:szCs w:val="26"/>
        </w:rPr>
      </w:pPr>
      <w:r>
        <w:rPr>
          <w:rFonts w:cs="Times New Roman"/>
          <w:sz w:val="26"/>
          <w:szCs w:val="26"/>
        </w:rPr>
        <w:t>Zaúčtovali jsme výdaj ve výši 100 000 Kč, a protože se jedná o úbytek stavu peněz na účtu, s</w:t>
      </w:r>
      <w:r w:rsidRPr="003C14D2">
        <w:rPr>
          <w:rFonts w:cs="Times New Roman"/>
          <w:sz w:val="26"/>
          <w:szCs w:val="26"/>
        </w:rPr>
        <w:t>oftware automaticky generuje položku 8115</w:t>
      </w:r>
      <w:r>
        <w:rPr>
          <w:rFonts w:cs="Times New Roman"/>
          <w:sz w:val="26"/>
          <w:szCs w:val="26"/>
        </w:rPr>
        <w:t xml:space="preserve"> v kladné výši (+ 100 000). Kladná položka 8115 znamená, že peníze ubyly. </w:t>
      </w:r>
    </w:p>
    <w:p w:rsidR="00E0096A" w:rsidRDefault="00E0096A" w:rsidP="00E0096A">
      <w:pPr>
        <w:spacing w:line="240" w:lineRule="auto"/>
        <w:contextualSpacing/>
        <w:jc w:val="both"/>
        <w:rPr>
          <w:rFonts w:cs="Times New Roman"/>
          <w:sz w:val="26"/>
          <w:szCs w:val="26"/>
        </w:rPr>
      </w:pPr>
      <w:r>
        <w:rPr>
          <w:rFonts w:cs="Times New Roman"/>
          <w:sz w:val="26"/>
          <w:szCs w:val="26"/>
        </w:rPr>
        <w:t xml:space="preserve">Položka 8115 vyjadřuje rozdíl mezi počátečním stavem a konečným stavem peněz na účtech. Pokud by např. stav peněz na účtech před zaúčtováním operace byl 6 343 943 Kč, po zaúčtování výdaje ve výši 100 000 Kč je zůstatek 6 243 943 Kč. Rozdíl mezi počáteční a konečným stavem = 6 343 943 - 6 243 943 = 100 000 (pohyb na položce 8115). </w:t>
      </w:r>
    </w:p>
    <w:p w:rsidR="00E0096A" w:rsidRDefault="00E0096A" w:rsidP="00E0096A">
      <w:pPr>
        <w:spacing w:line="240" w:lineRule="auto"/>
        <w:contextualSpacing/>
        <w:jc w:val="both"/>
        <w:rPr>
          <w:rFonts w:cs="Times New Roman"/>
          <w:b/>
          <w:i/>
          <w:sz w:val="26"/>
          <w:szCs w:val="26"/>
        </w:rPr>
      </w:pPr>
    </w:p>
    <w:p w:rsidR="00E0096A" w:rsidRPr="00045A75" w:rsidRDefault="00E0096A" w:rsidP="00E0096A">
      <w:pPr>
        <w:spacing w:line="240" w:lineRule="auto"/>
        <w:contextualSpacing/>
        <w:jc w:val="both"/>
        <w:rPr>
          <w:rFonts w:cs="Times New Roman"/>
          <w:b/>
          <w:i/>
          <w:sz w:val="26"/>
          <w:szCs w:val="26"/>
        </w:rPr>
      </w:pPr>
      <w:r>
        <w:rPr>
          <w:rFonts w:cs="Times New Roman"/>
          <w:b/>
          <w:i/>
          <w:sz w:val="26"/>
          <w:szCs w:val="26"/>
        </w:rPr>
        <w:t xml:space="preserve">D) </w:t>
      </w:r>
      <w:r w:rsidRPr="00045A75">
        <w:rPr>
          <w:rFonts w:cs="Times New Roman"/>
          <w:b/>
          <w:i/>
          <w:sz w:val="26"/>
          <w:szCs w:val="26"/>
        </w:rPr>
        <w:t>zaúčtování přij</w:t>
      </w:r>
      <w:r>
        <w:rPr>
          <w:rFonts w:cs="Times New Roman"/>
          <w:b/>
          <w:i/>
          <w:sz w:val="26"/>
          <w:szCs w:val="26"/>
        </w:rPr>
        <w:t>até sdílené daně z přidané hodnoty (150 000 Kč)</w:t>
      </w:r>
      <w:r w:rsidRPr="00045A75">
        <w:rPr>
          <w:rFonts w:cs="Times New Roman"/>
          <w:b/>
          <w:i/>
          <w:sz w:val="26"/>
          <w:szCs w:val="26"/>
        </w:rPr>
        <w:t xml:space="preserve"> </w:t>
      </w:r>
    </w:p>
    <w:p w:rsidR="00E0096A" w:rsidRDefault="00E0096A" w:rsidP="00E0096A">
      <w:pPr>
        <w:spacing w:line="240" w:lineRule="auto"/>
        <w:contextualSpacing/>
        <w:jc w:val="both"/>
        <w:rPr>
          <w:rFonts w:cs="Times New Roman"/>
          <w:sz w:val="26"/>
          <w:szCs w:val="26"/>
        </w:rPr>
      </w:pPr>
      <w:r w:rsidRPr="00884C94">
        <w:rPr>
          <w:rFonts w:cs="Times New Roman"/>
          <w:sz w:val="26"/>
          <w:szCs w:val="26"/>
        </w:rPr>
        <w:t xml:space="preserve">Zaúčtování: 231 MD (pol. </w:t>
      </w:r>
      <w:r>
        <w:rPr>
          <w:rFonts w:cs="Times New Roman"/>
          <w:sz w:val="26"/>
          <w:szCs w:val="26"/>
        </w:rPr>
        <w:t>1211</w:t>
      </w:r>
      <w:r w:rsidRPr="00884C94">
        <w:rPr>
          <w:rFonts w:cs="Times New Roman"/>
          <w:sz w:val="26"/>
          <w:szCs w:val="26"/>
        </w:rPr>
        <w:t xml:space="preserve">) / </w:t>
      </w:r>
      <w:r>
        <w:rPr>
          <w:rFonts w:cs="Times New Roman"/>
          <w:sz w:val="26"/>
          <w:szCs w:val="26"/>
        </w:rPr>
        <w:t>684</w:t>
      </w:r>
      <w:r w:rsidRPr="00884C94">
        <w:rPr>
          <w:rFonts w:cs="Times New Roman"/>
          <w:sz w:val="26"/>
          <w:szCs w:val="26"/>
        </w:rPr>
        <w:t xml:space="preserve"> D</w:t>
      </w:r>
      <w:r>
        <w:rPr>
          <w:rFonts w:cs="Times New Roman"/>
          <w:sz w:val="26"/>
          <w:szCs w:val="26"/>
        </w:rPr>
        <w:t xml:space="preserve"> </w:t>
      </w:r>
    </w:p>
    <w:p w:rsidR="00E0096A" w:rsidRPr="00884C94" w:rsidRDefault="00E0096A" w:rsidP="00E0096A">
      <w:pPr>
        <w:spacing w:after="120" w:line="240" w:lineRule="auto"/>
        <w:jc w:val="both"/>
        <w:rPr>
          <w:rFonts w:cs="Times New Roman"/>
          <w:sz w:val="26"/>
          <w:szCs w:val="26"/>
        </w:rPr>
      </w:pPr>
      <w:r>
        <w:rPr>
          <w:rFonts w:cs="Times New Roman"/>
          <w:sz w:val="26"/>
          <w:szCs w:val="26"/>
        </w:rPr>
        <w:t xml:space="preserve">Operace má následující dopad na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Příj</w:t>
            </w:r>
            <w:r>
              <w:rPr>
                <w:color w:val="000000"/>
              </w:rPr>
              <w:t>em</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150 000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150 000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Default="00E0096A" w:rsidP="00A01625">
            <w:pPr>
              <w:spacing w:after="0" w:line="240" w:lineRule="auto"/>
              <w:jc w:val="right"/>
              <w:rPr>
                <w:color w:val="000000"/>
              </w:rPr>
            </w:pPr>
            <w:r>
              <w:rPr>
                <w:color w:val="000000"/>
              </w:rPr>
              <w:t>-150 000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jc w:val="right"/>
              <w:rPr>
                <w:b/>
                <w:i/>
                <w:color w:val="000000"/>
              </w:rPr>
            </w:pPr>
            <w:r w:rsidRPr="00045A75">
              <w:rPr>
                <w:b/>
                <w:i/>
                <w:color w:val="000000"/>
              </w:rPr>
              <w:t>-1</w:t>
            </w:r>
            <w:r>
              <w:rPr>
                <w:b/>
                <w:i/>
                <w:color w:val="000000"/>
              </w:rPr>
              <w:t>50 0</w:t>
            </w:r>
            <w:r w:rsidRPr="00045A75">
              <w:rPr>
                <w:b/>
                <w:i/>
                <w:color w:val="000000"/>
              </w:rPr>
              <w:t>00</w:t>
            </w:r>
          </w:p>
        </w:tc>
      </w:tr>
    </w:tbl>
    <w:p w:rsidR="00E0096A" w:rsidRDefault="00E0096A" w:rsidP="00E0096A">
      <w:pPr>
        <w:spacing w:before="160" w:line="240" w:lineRule="auto"/>
        <w:jc w:val="both"/>
        <w:rPr>
          <w:rFonts w:cs="Times New Roman"/>
          <w:sz w:val="26"/>
          <w:szCs w:val="26"/>
        </w:rPr>
      </w:pPr>
      <w:r>
        <w:rPr>
          <w:rFonts w:cs="Times New Roman"/>
          <w:sz w:val="26"/>
          <w:szCs w:val="26"/>
        </w:rPr>
        <w:t>Zaúčtovali jsme příjem ve výši 150 000 Kč, a protože se jedná o přírůstek stavu peněz na účtu, s</w:t>
      </w:r>
      <w:r w:rsidRPr="003C14D2">
        <w:rPr>
          <w:rFonts w:cs="Times New Roman"/>
          <w:sz w:val="26"/>
          <w:szCs w:val="26"/>
        </w:rPr>
        <w:t>oftware automaticky generuje položku 8115</w:t>
      </w:r>
      <w:r>
        <w:rPr>
          <w:rFonts w:cs="Times New Roman"/>
          <w:sz w:val="26"/>
          <w:szCs w:val="26"/>
        </w:rPr>
        <w:t xml:space="preserve"> v záporné výši (-</w:t>
      </w:r>
      <w:r w:rsidRPr="003C14D2">
        <w:rPr>
          <w:rFonts w:cs="Times New Roman"/>
          <w:sz w:val="26"/>
          <w:szCs w:val="26"/>
        </w:rPr>
        <w:t xml:space="preserve"> </w:t>
      </w:r>
      <w:r>
        <w:rPr>
          <w:rFonts w:cs="Times New Roman"/>
          <w:sz w:val="26"/>
          <w:szCs w:val="26"/>
        </w:rPr>
        <w:t xml:space="preserve">150 000). Záporná položka 8115 znamená, že peníze přibyly. </w:t>
      </w:r>
    </w:p>
    <w:p w:rsidR="00E0096A" w:rsidRDefault="00E0096A" w:rsidP="00E0096A">
      <w:pPr>
        <w:spacing w:line="240" w:lineRule="auto"/>
        <w:contextualSpacing/>
        <w:jc w:val="both"/>
        <w:rPr>
          <w:rFonts w:cs="Times New Roman"/>
          <w:sz w:val="26"/>
          <w:szCs w:val="26"/>
        </w:rPr>
      </w:pPr>
      <w:r>
        <w:rPr>
          <w:rFonts w:cs="Times New Roman"/>
          <w:sz w:val="26"/>
          <w:szCs w:val="26"/>
        </w:rPr>
        <w:t xml:space="preserve">Položka 8115 vyjadřuje rozdíl mezi počátečním stavem a konečným stavem peněz na účtech. Pokud by např. stav peněz na účtech před zaúčtováním operace byl 6 243 943 Kč, po zaúčtování příjmu ve výši 150 000 Kč je zůstatek 6 393 943 Kč. Rozdíl mezi počáteční a konečným stavem = 6 243 943 - 6 393 943 = - 150 000 (pohyb na položce 8115). </w:t>
      </w:r>
    </w:p>
    <w:p w:rsidR="00E0096A" w:rsidRDefault="00E0096A" w:rsidP="00E0096A">
      <w:pPr>
        <w:spacing w:line="240" w:lineRule="auto"/>
        <w:contextualSpacing/>
        <w:jc w:val="both"/>
        <w:rPr>
          <w:rFonts w:cs="Times New Roman"/>
          <w:b/>
          <w:i/>
          <w:sz w:val="26"/>
          <w:szCs w:val="26"/>
        </w:rPr>
      </w:pPr>
    </w:p>
    <w:p w:rsidR="00E0096A" w:rsidRPr="00045A75" w:rsidRDefault="00E0096A" w:rsidP="00E0096A">
      <w:pPr>
        <w:spacing w:line="240" w:lineRule="auto"/>
        <w:contextualSpacing/>
        <w:jc w:val="both"/>
        <w:rPr>
          <w:rFonts w:cs="Times New Roman"/>
          <w:b/>
          <w:i/>
          <w:sz w:val="26"/>
          <w:szCs w:val="26"/>
        </w:rPr>
      </w:pPr>
      <w:proofErr w:type="gramStart"/>
      <w:r>
        <w:rPr>
          <w:rFonts w:cs="Times New Roman"/>
          <w:b/>
          <w:i/>
          <w:sz w:val="26"/>
          <w:szCs w:val="26"/>
        </w:rPr>
        <w:t xml:space="preserve">E) </w:t>
      </w:r>
      <w:r w:rsidRPr="00045A75">
        <w:rPr>
          <w:rFonts w:cs="Times New Roman"/>
          <w:b/>
          <w:i/>
          <w:sz w:val="26"/>
          <w:szCs w:val="26"/>
        </w:rPr>
        <w:t xml:space="preserve"> zaúčtování</w:t>
      </w:r>
      <w:proofErr w:type="gramEnd"/>
      <w:r w:rsidRPr="00045A75">
        <w:rPr>
          <w:rFonts w:cs="Times New Roman"/>
          <w:b/>
          <w:i/>
          <w:sz w:val="26"/>
          <w:szCs w:val="26"/>
        </w:rPr>
        <w:t xml:space="preserve"> </w:t>
      </w:r>
      <w:r>
        <w:rPr>
          <w:rFonts w:cs="Times New Roman"/>
          <w:b/>
          <w:i/>
          <w:sz w:val="26"/>
          <w:szCs w:val="26"/>
        </w:rPr>
        <w:t>splátky jistiny úvěru z minulých let (50 000 Kč)</w:t>
      </w:r>
      <w:r w:rsidRPr="00045A75">
        <w:rPr>
          <w:rFonts w:cs="Times New Roman"/>
          <w:b/>
          <w:i/>
          <w:sz w:val="26"/>
          <w:szCs w:val="26"/>
        </w:rPr>
        <w:t xml:space="preserve"> </w:t>
      </w:r>
    </w:p>
    <w:p w:rsidR="00E0096A" w:rsidRDefault="00E0096A" w:rsidP="00E0096A">
      <w:pPr>
        <w:spacing w:line="240" w:lineRule="auto"/>
        <w:contextualSpacing/>
        <w:jc w:val="both"/>
        <w:rPr>
          <w:rFonts w:cs="Times New Roman"/>
          <w:sz w:val="26"/>
          <w:szCs w:val="26"/>
        </w:rPr>
      </w:pPr>
      <w:r w:rsidRPr="00884C94">
        <w:rPr>
          <w:rFonts w:cs="Times New Roman"/>
          <w:sz w:val="26"/>
          <w:szCs w:val="26"/>
        </w:rPr>
        <w:t xml:space="preserve">Zaúčtování: </w:t>
      </w:r>
      <w:r>
        <w:rPr>
          <w:rFonts w:cs="Times New Roman"/>
          <w:sz w:val="26"/>
          <w:szCs w:val="26"/>
        </w:rPr>
        <w:t>451</w:t>
      </w:r>
      <w:r w:rsidRPr="00884C94">
        <w:rPr>
          <w:rFonts w:cs="Times New Roman"/>
          <w:sz w:val="26"/>
          <w:szCs w:val="26"/>
        </w:rPr>
        <w:t xml:space="preserve"> MD / </w:t>
      </w:r>
      <w:r>
        <w:rPr>
          <w:rFonts w:cs="Times New Roman"/>
          <w:sz w:val="26"/>
          <w:szCs w:val="26"/>
        </w:rPr>
        <w:t>231 (pol. 8124)</w:t>
      </w:r>
      <w:r w:rsidRPr="00884C94">
        <w:rPr>
          <w:rFonts w:cs="Times New Roman"/>
          <w:sz w:val="26"/>
          <w:szCs w:val="26"/>
        </w:rPr>
        <w:t xml:space="preserve"> D</w:t>
      </w:r>
      <w:r>
        <w:rPr>
          <w:rFonts w:cs="Times New Roman"/>
          <w:sz w:val="26"/>
          <w:szCs w:val="26"/>
        </w:rPr>
        <w:t xml:space="preserve"> </w:t>
      </w:r>
    </w:p>
    <w:p w:rsidR="00E0096A" w:rsidRPr="00884C94" w:rsidRDefault="00E0096A" w:rsidP="00E0096A">
      <w:pPr>
        <w:spacing w:after="120" w:line="240" w:lineRule="auto"/>
        <w:jc w:val="both"/>
        <w:rPr>
          <w:rFonts w:cs="Times New Roman"/>
          <w:sz w:val="26"/>
          <w:szCs w:val="26"/>
        </w:rPr>
      </w:pPr>
      <w:r>
        <w:rPr>
          <w:rFonts w:cs="Times New Roman"/>
          <w:sz w:val="26"/>
          <w:szCs w:val="26"/>
        </w:rPr>
        <w:t xml:space="preserve">Operace má následující dopad na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Příj</w:t>
            </w:r>
            <w:r>
              <w:rPr>
                <w:color w:val="000000"/>
              </w:rPr>
              <w:t>em</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Default="00E0096A" w:rsidP="00A01625">
            <w:pPr>
              <w:spacing w:after="0" w:line="240" w:lineRule="auto"/>
              <w:jc w:val="right"/>
              <w:rPr>
                <w:color w:val="000000"/>
              </w:rPr>
            </w:pPr>
            <w:r>
              <w:rPr>
                <w:color w:val="000000"/>
              </w:rPr>
              <w:t>0</w:t>
            </w:r>
          </w:p>
        </w:tc>
      </w:tr>
      <w:tr w:rsidR="00E0096A" w:rsidRPr="00DA3AC7" w:rsidTr="00A01625">
        <w:trPr>
          <w:trHeight w:val="270"/>
        </w:trPr>
        <w:tc>
          <w:tcPr>
            <w:tcW w:w="1440" w:type="dxa"/>
            <w:tcBorders>
              <w:left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right w:val="single" w:sz="4" w:space="0" w:color="auto"/>
            </w:tcBorders>
            <w:shd w:val="clear" w:color="auto" w:fill="auto"/>
            <w:noWrap/>
            <w:vAlign w:val="bottom"/>
          </w:tcPr>
          <w:p w:rsidR="00E0096A" w:rsidRPr="00045A75" w:rsidRDefault="00E0096A" w:rsidP="00A01625">
            <w:pPr>
              <w:spacing w:after="0" w:line="240" w:lineRule="auto"/>
              <w:jc w:val="right"/>
              <w:rPr>
                <w:b/>
                <w:i/>
                <w:color w:val="000000"/>
              </w:rPr>
            </w:pPr>
            <w:r>
              <w:rPr>
                <w:b/>
                <w:i/>
                <w:color w:val="000000"/>
              </w:rPr>
              <w:t>50 0</w:t>
            </w:r>
            <w:r w:rsidRPr="00045A75">
              <w:rPr>
                <w:b/>
                <w:i/>
                <w:color w:val="000000"/>
              </w:rPr>
              <w:t>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1C22FB" w:rsidRDefault="00E0096A" w:rsidP="00A01625">
            <w:pPr>
              <w:spacing w:after="0" w:line="240" w:lineRule="auto"/>
              <w:rPr>
                <w:i/>
                <w:color w:val="000000"/>
              </w:rPr>
            </w:pPr>
            <w:r w:rsidRPr="001C22FB">
              <w:rPr>
                <w:i/>
                <w:color w:val="000000"/>
              </w:rPr>
              <w:t>Pol. 8124</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1C22FB" w:rsidRDefault="00E0096A" w:rsidP="00A01625">
            <w:pPr>
              <w:spacing w:after="0" w:line="240" w:lineRule="auto"/>
              <w:jc w:val="right"/>
              <w:rPr>
                <w:i/>
                <w:color w:val="000000"/>
              </w:rPr>
            </w:pPr>
            <w:r w:rsidRPr="001C22FB">
              <w:rPr>
                <w:i/>
                <w:color w:val="000000"/>
              </w:rPr>
              <w:t>- 50 000</w:t>
            </w:r>
          </w:p>
        </w:tc>
      </w:tr>
    </w:tbl>
    <w:p w:rsidR="00E0096A" w:rsidRDefault="00E0096A" w:rsidP="00E0096A">
      <w:pPr>
        <w:spacing w:before="160" w:line="240" w:lineRule="auto"/>
        <w:jc w:val="both"/>
        <w:rPr>
          <w:rFonts w:cs="Times New Roman"/>
          <w:sz w:val="26"/>
          <w:szCs w:val="26"/>
        </w:rPr>
      </w:pPr>
      <w:r>
        <w:rPr>
          <w:rFonts w:cs="Times New Roman"/>
          <w:sz w:val="26"/>
          <w:szCs w:val="26"/>
        </w:rPr>
        <w:t>Zaúčtovali jsme splátku jistiny úvěru ve výši 50 000 Kč (operace třídy 8 financování), a protože se jedná o úbytek stavu peněz na účtu, s</w:t>
      </w:r>
      <w:r w:rsidRPr="003C14D2">
        <w:rPr>
          <w:rFonts w:cs="Times New Roman"/>
          <w:sz w:val="26"/>
          <w:szCs w:val="26"/>
        </w:rPr>
        <w:t xml:space="preserve">oftware automaticky generuje </w:t>
      </w:r>
      <w:r w:rsidRPr="003C14D2">
        <w:rPr>
          <w:rFonts w:cs="Times New Roman"/>
          <w:sz w:val="26"/>
          <w:szCs w:val="26"/>
        </w:rPr>
        <w:lastRenderedPageBreak/>
        <w:t>položku 8115</w:t>
      </w:r>
      <w:r>
        <w:rPr>
          <w:rFonts w:cs="Times New Roman"/>
          <w:sz w:val="26"/>
          <w:szCs w:val="26"/>
        </w:rPr>
        <w:t xml:space="preserve"> v kladné výši (+ 50 000). Kladná položka 8115 znamená, že peníze ubyly. </w:t>
      </w:r>
    </w:p>
    <w:p w:rsidR="00E0096A" w:rsidRDefault="00E0096A" w:rsidP="00E0096A">
      <w:pPr>
        <w:spacing w:after="120" w:line="240" w:lineRule="auto"/>
        <w:jc w:val="both"/>
        <w:rPr>
          <w:rFonts w:cs="Times New Roman"/>
          <w:sz w:val="26"/>
          <w:szCs w:val="26"/>
        </w:rPr>
      </w:pPr>
      <w:r>
        <w:rPr>
          <w:rFonts w:cs="Times New Roman"/>
          <w:sz w:val="26"/>
          <w:szCs w:val="26"/>
        </w:rPr>
        <w:t xml:space="preserve">Položka 8115 vyjadřuje rozdíl mezi počátečním stavem a konečným stavem peněz na účtech. Pokud by např. stav peněz na účtech před zaúčtováním operace byl 6 393 943 Kč, po zaúčtování splátky jistiny úvěru ve výši 50 000 Kč je zůstatek 6 343 943 Kč. Rozdíl mezi počáteční a konečným stavem = 6 393 943 - 6 343 943 = + 50 000 (pohyb na položce 8115). </w:t>
      </w:r>
    </w:p>
    <w:p w:rsidR="00E0096A" w:rsidRPr="00D32751" w:rsidRDefault="00E0096A" w:rsidP="00E0096A">
      <w:pPr>
        <w:spacing w:after="120" w:line="240" w:lineRule="auto"/>
        <w:jc w:val="both"/>
        <w:rPr>
          <w:rFonts w:cs="Times New Roman"/>
          <w:sz w:val="26"/>
          <w:szCs w:val="26"/>
        </w:rPr>
      </w:pPr>
      <w:r w:rsidRPr="00D32751">
        <w:rPr>
          <w:rFonts w:cs="Times New Roman"/>
          <w:sz w:val="26"/>
          <w:szCs w:val="26"/>
        </w:rPr>
        <w:t>Shrnutí dopad</w:t>
      </w:r>
      <w:r>
        <w:rPr>
          <w:rFonts w:cs="Times New Roman"/>
          <w:sz w:val="26"/>
          <w:szCs w:val="26"/>
        </w:rPr>
        <w:t xml:space="preserve">u </w:t>
      </w:r>
      <w:r w:rsidRPr="00D32751">
        <w:rPr>
          <w:rFonts w:cs="Times New Roman"/>
          <w:sz w:val="26"/>
          <w:szCs w:val="26"/>
        </w:rPr>
        <w:t>pohybů A</w:t>
      </w:r>
      <w:r>
        <w:rPr>
          <w:rFonts w:cs="Times New Roman"/>
          <w:sz w:val="26"/>
          <w:szCs w:val="26"/>
        </w:rPr>
        <w:t>)</w:t>
      </w:r>
      <w:r w:rsidRPr="00D32751">
        <w:rPr>
          <w:rFonts w:cs="Times New Roman"/>
          <w:sz w:val="26"/>
          <w:szCs w:val="26"/>
        </w:rPr>
        <w:t xml:space="preserve"> – E</w:t>
      </w:r>
      <w:r>
        <w:rPr>
          <w:rFonts w:cs="Times New Roman"/>
          <w:sz w:val="26"/>
          <w:szCs w:val="26"/>
        </w:rPr>
        <w:t xml:space="preserve">) </w:t>
      </w:r>
      <w:r w:rsidRPr="00D32751">
        <w:rPr>
          <w:rFonts w:cs="Times New Roman"/>
          <w:sz w:val="26"/>
          <w:szCs w:val="26"/>
        </w:rPr>
        <w:t xml:space="preserve">do plnění rozpočtu: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right"/>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150 100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102 000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48 100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5B3E39" w:rsidRDefault="00E0096A" w:rsidP="00A01625">
            <w:pPr>
              <w:spacing w:after="0" w:line="240" w:lineRule="auto"/>
              <w:jc w:val="right"/>
              <w:rPr>
                <w:color w:val="000000"/>
              </w:rPr>
            </w:pPr>
            <w:r w:rsidRPr="005B3E39">
              <w:rPr>
                <w:color w:val="000000"/>
              </w:rPr>
              <w:t>- 48 100</w:t>
            </w:r>
          </w:p>
        </w:tc>
      </w:tr>
      <w:tr w:rsidR="00E0096A" w:rsidRPr="00DA3AC7" w:rsidTr="00A01625">
        <w:trPr>
          <w:trHeight w:val="270"/>
        </w:trPr>
        <w:tc>
          <w:tcPr>
            <w:tcW w:w="1440" w:type="dxa"/>
            <w:tcBorders>
              <w:left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right w:val="single" w:sz="4" w:space="0" w:color="auto"/>
            </w:tcBorders>
            <w:shd w:val="clear" w:color="auto" w:fill="auto"/>
            <w:noWrap/>
            <w:vAlign w:val="bottom"/>
          </w:tcPr>
          <w:p w:rsidR="00E0096A" w:rsidRPr="00045A75" w:rsidRDefault="00E0096A" w:rsidP="00A01625">
            <w:pPr>
              <w:spacing w:after="0" w:line="240" w:lineRule="auto"/>
              <w:jc w:val="right"/>
              <w:rPr>
                <w:b/>
                <w:i/>
                <w:color w:val="000000"/>
              </w:rPr>
            </w:pPr>
            <w:r>
              <w:rPr>
                <w:b/>
                <w:i/>
                <w:color w:val="000000"/>
              </w:rPr>
              <w:t>1 900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1C22FB" w:rsidRDefault="00E0096A" w:rsidP="00A01625">
            <w:pPr>
              <w:spacing w:after="0" w:line="240" w:lineRule="auto"/>
              <w:rPr>
                <w:i/>
                <w:color w:val="000000"/>
              </w:rPr>
            </w:pPr>
            <w:r w:rsidRPr="001C22FB">
              <w:rPr>
                <w:i/>
                <w:color w:val="000000"/>
              </w:rPr>
              <w:t>Pol. 8124</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1C22FB" w:rsidRDefault="00E0096A" w:rsidP="00A01625">
            <w:pPr>
              <w:spacing w:after="0" w:line="240" w:lineRule="auto"/>
              <w:jc w:val="right"/>
              <w:rPr>
                <w:i/>
                <w:color w:val="000000"/>
              </w:rPr>
            </w:pPr>
            <w:r w:rsidRPr="001C22FB">
              <w:rPr>
                <w:i/>
                <w:color w:val="000000"/>
              </w:rPr>
              <w:t>- 50 000</w:t>
            </w:r>
          </w:p>
        </w:tc>
      </w:tr>
    </w:tbl>
    <w:p w:rsidR="00E0096A" w:rsidRDefault="00E0096A" w:rsidP="00E0096A">
      <w:pPr>
        <w:spacing w:before="160" w:line="240" w:lineRule="auto"/>
        <w:jc w:val="both"/>
        <w:rPr>
          <w:rFonts w:cs="Times New Roman"/>
          <w:sz w:val="26"/>
          <w:szCs w:val="26"/>
        </w:rPr>
      </w:pPr>
      <w:r>
        <w:rPr>
          <w:rFonts w:cs="Times New Roman"/>
          <w:sz w:val="26"/>
          <w:szCs w:val="26"/>
        </w:rPr>
        <w:t xml:space="preserve">Ve sledovaném období jsme zaúčtovali příjmy 150 100 Kč, výdaje 102 000 Kč a splátku jistiny úvěru 50 000 Kč (operace třídy 8 financování). Plnění rozpočtu reprezentované těmito pohyby je přebytkové s přebytkem 48 100 Kč. Změna stavu peněz na účtech ale výši přebytku neodpovídá (způsobeno splátkou úvěru). </w:t>
      </w:r>
    </w:p>
    <w:p w:rsidR="00E0096A" w:rsidRDefault="00E0096A" w:rsidP="00E0096A">
      <w:pPr>
        <w:spacing w:before="120" w:after="120" w:line="240" w:lineRule="auto"/>
        <w:jc w:val="both"/>
        <w:rPr>
          <w:rFonts w:cs="Times New Roman"/>
          <w:sz w:val="26"/>
          <w:szCs w:val="26"/>
        </w:rPr>
      </w:pPr>
      <w:r>
        <w:rPr>
          <w:rFonts w:cs="Times New Roman"/>
          <w:sz w:val="26"/>
          <w:szCs w:val="26"/>
        </w:rPr>
        <w:t xml:space="preserve">V příkladu byl počáteční stav peněz na účtech ve výši 6 345 843 a konečný zůstatek ve výši 6 343 943. Rozdíl mezi počáteční a konečným stavem = 6 345 843  - 6 343 943 = 1 900 (celkové plnění položky 8115). </w:t>
      </w:r>
    </w:p>
    <w:p w:rsidR="00E0096A" w:rsidRPr="00AE1C7B" w:rsidRDefault="00E0096A" w:rsidP="00E0096A">
      <w:pPr>
        <w:spacing w:before="120" w:after="120" w:line="240" w:lineRule="auto"/>
        <w:jc w:val="both"/>
        <w:rPr>
          <w:rFonts w:cs="Times New Roman"/>
          <w:i/>
          <w:sz w:val="26"/>
          <w:szCs w:val="26"/>
        </w:rPr>
      </w:pPr>
      <w:r w:rsidRPr="00AE1C7B">
        <w:rPr>
          <w:rFonts w:cs="Times New Roman"/>
          <w:i/>
          <w:sz w:val="26"/>
          <w:szCs w:val="26"/>
        </w:rPr>
        <w:t>Závěr příkladu</w:t>
      </w:r>
    </w:p>
    <w:p w:rsidR="00E0096A" w:rsidRPr="00127206" w:rsidRDefault="00E0096A" w:rsidP="00E0096A">
      <w:pPr>
        <w:spacing w:before="120" w:line="240" w:lineRule="auto"/>
        <w:jc w:val="both"/>
        <w:rPr>
          <w:rFonts w:cs="Times New Roman"/>
          <w:sz w:val="26"/>
          <w:szCs w:val="26"/>
        </w:rPr>
      </w:pPr>
      <w:r w:rsidRPr="00127206">
        <w:rPr>
          <w:rFonts w:cs="Times New Roman"/>
          <w:sz w:val="26"/>
          <w:szCs w:val="26"/>
        </w:rPr>
        <w:t xml:space="preserve">Ve sledovaném období (pohyby A – E) bylo plnění rozpočtu přebytkové s přebytkem ve výši 48 100 Kč; stav finančních prostředků na účtech se zvýšil o 1 900 Kč.  </w:t>
      </w:r>
    </w:p>
    <w:p w:rsidR="00E0096A" w:rsidRPr="00127206" w:rsidRDefault="00E0096A" w:rsidP="00E0096A">
      <w:pPr>
        <w:spacing w:after="120" w:line="240" w:lineRule="auto"/>
        <w:jc w:val="both"/>
        <w:rPr>
          <w:rFonts w:cs="Times New Roman"/>
          <w:b/>
          <w:i/>
          <w:sz w:val="26"/>
          <w:szCs w:val="26"/>
        </w:rPr>
      </w:pPr>
      <w:r w:rsidRPr="00127206">
        <w:rPr>
          <w:rFonts w:cs="Times New Roman"/>
          <w:b/>
          <w:i/>
          <w:sz w:val="26"/>
          <w:szCs w:val="26"/>
        </w:rPr>
        <w:t>Příklad na určení výše položky 8115</w:t>
      </w:r>
    </w:p>
    <w:p w:rsidR="00E0096A" w:rsidRPr="003C14D2" w:rsidRDefault="00E0096A" w:rsidP="00E0096A">
      <w:pPr>
        <w:spacing w:after="120" w:line="240" w:lineRule="auto"/>
        <w:jc w:val="both"/>
        <w:rPr>
          <w:rFonts w:cs="Times New Roman"/>
          <w:i/>
          <w:sz w:val="26"/>
          <w:szCs w:val="26"/>
        </w:rPr>
      </w:pPr>
      <w:r w:rsidRPr="003C14D2">
        <w:rPr>
          <w:rFonts w:cs="Times New Roman"/>
          <w:i/>
          <w:sz w:val="26"/>
          <w:szCs w:val="26"/>
        </w:rPr>
        <w:t>Obec má k 1. 1.</w:t>
      </w:r>
      <w:r>
        <w:rPr>
          <w:rFonts w:cs="Times New Roman"/>
          <w:i/>
          <w:sz w:val="26"/>
          <w:szCs w:val="26"/>
        </w:rPr>
        <w:t xml:space="preserve"> 2019</w:t>
      </w:r>
      <w:r w:rsidRPr="003C14D2">
        <w:rPr>
          <w:rFonts w:cs="Times New Roman"/>
          <w:i/>
          <w:sz w:val="26"/>
          <w:szCs w:val="26"/>
        </w:rPr>
        <w:t xml:space="preserve"> na </w:t>
      </w:r>
      <w:r>
        <w:rPr>
          <w:rFonts w:cs="Times New Roman"/>
          <w:i/>
          <w:sz w:val="26"/>
          <w:szCs w:val="26"/>
        </w:rPr>
        <w:t>základním běžném účtu</w:t>
      </w:r>
      <w:r w:rsidRPr="003C14D2">
        <w:rPr>
          <w:rFonts w:cs="Times New Roman"/>
          <w:i/>
          <w:sz w:val="26"/>
          <w:szCs w:val="26"/>
        </w:rPr>
        <w:t xml:space="preserve"> </w:t>
      </w:r>
      <w:r>
        <w:rPr>
          <w:rFonts w:cs="Times New Roman"/>
          <w:i/>
          <w:sz w:val="26"/>
          <w:szCs w:val="26"/>
        </w:rPr>
        <w:t xml:space="preserve">počáteční zůstatek </w:t>
      </w:r>
      <w:r w:rsidRPr="003C14D2">
        <w:rPr>
          <w:rFonts w:cs="Times New Roman"/>
          <w:i/>
          <w:sz w:val="26"/>
          <w:szCs w:val="26"/>
        </w:rPr>
        <w:t>11 mil. Kč, na účtech peněžních fondů 900 tis. Kč</w:t>
      </w:r>
      <w:r>
        <w:rPr>
          <w:rFonts w:cs="Times New Roman"/>
          <w:i/>
          <w:sz w:val="26"/>
          <w:szCs w:val="26"/>
        </w:rPr>
        <w:t xml:space="preserve"> a</w:t>
      </w:r>
      <w:r w:rsidRPr="003C14D2">
        <w:rPr>
          <w:rFonts w:cs="Times New Roman"/>
          <w:i/>
          <w:sz w:val="26"/>
          <w:szCs w:val="26"/>
        </w:rPr>
        <w:t xml:space="preserve"> v oddělené pokladně 100 tis. Kč</w:t>
      </w:r>
      <w:r>
        <w:rPr>
          <w:rFonts w:cs="Times New Roman"/>
          <w:i/>
          <w:sz w:val="26"/>
          <w:szCs w:val="26"/>
        </w:rPr>
        <w:t>;</w:t>
      </w:r>
      <w:r w:rsidRPr="003C14D2">
        <w:rPr>
          <w:rFonts w:cs="Times New Roman"/>
          <w:i/>
          <w:sz w:val="26"/>
          <w:szCs w:val="26"/>
        </w:rPr>
        <w:t xml:space="preserve"> v průběhu roku </w:t>
      </w:r>
      <w:r>
        <w:rPr>
          <w:rFonts w:cs="Times New Roman"/>
          <w:i/>
          <w:sz w:val="26"/>
          <w:szCs w:val="26"/>
        </w:rPr>
        <w:t xml:space="preserve">2019 </w:t>
      </w:r>
      <w:r w:rsidRPr="003C14D2">
        <w:rPr>
          <w:rFonts w:cs="Times New Roman"/>
          <w:i/>
          <w:sz w:val="26"/>
          <w:szCs w:val="26"/>
        </w:rPr>
        <w:t>realiz</w:t>
      </w:r>
      <w:r>
        <w:rPr>
          <w:rFonts w:cs="Times New Roman"/>
          <w:i/>
          <w:sz w:val="26"/>
          <w:szCs w:val="26"/>
        </w:rPr>
        <w:t>ovala</w:t>
      </w:r>
      <w:r w:rsidRPr="003C14D2">
        <w:rPr>
          <w:rFonts w:cs="Times New Roman"/>
          <w:i/>
          <w:sz w:val="26"/>
          <w:szCs w:val="26"/>
        </w:rPr>
        <w:t xml:space="preserve"> příjmy 40 mil. Kč, výdaje 44 mil. Kč, čerp</w:t>
      </w:r>
      <w:r>
        <w:rPr>
          <w:rFonts w:cs="Times New Roman"/>
          <w:i/>
          <w:sz w:val="26"/>
          <w:szCs w:val="26"/>
        </w:rPr>
        <w:t>ala</w:t>
      </w:r>
      <w:r w:rsidRPr="003C14D2">
        <w:rPr>
          <w:rFonts w:cs="Times New Roman"/>
          <w:i/>
          <w:sz w:val="26"/>
          <w:szCs w:val="26"/>
        </w:rPr>
        <w:t xml:space="preserve"> úvěr 8 mil. Kč (přijat</w:t>
      </w:r>
      <w:r>
        <w:rPr>
          <w:rFonts w:cs="Times New Roman"/>
          <w:i/>
          <w:sz w:val="26"/>
          <w:szCs w:val="26"/>
        </w:rPr>
        <w:t>ý</w:t>
      </w:r>
      <w:r w:rsidRPr="003C14D2">
        <w:rPr>
          <w:rFonts w:cs="Times New Roman"/>
          <w:i/>
          <w:sz w:val="26"/>
          <w:szCs w:val="26"/>
        </w:rPr>
        <w:t xml:space="preserve"> na ZBÚ)</w:t>
      </w:r>
      <w:r>
        <w:rPr>
          <w:rFonts w:cs="Times New Roman"/>
          <w:i/>
          <w:sz w:val="26"/>
          <w:szCs w:val="26"/>
        </w:rPr>
        <w:t xml:space="preserve"> a</w:t>
      </w:r>
      <w:r w:rsidRPr="003C14D2">
        <w:rPr>
          <w:rFonts w:cs="Times New Roman"/>
          <w:i/>
          <w:sz w:val="26"/>
          <w:szCs w:val="26"/>
        </w:rPr>
        <w:t xml:space="preserve"> hrad</w:t>
      </w:r>
      <w:r>
        <w:rPr>
          <w:rFonts w:cs="Times New Roman"/>
          <w:i/>
          <w:sz w:val="26"/>
          <w:szCs w:val="26"/>
        </w:rPr>
        <w:t>ila</w:t>
      </w:r>
      <w:r w:rsidRPr="003C14D2">
        <w:rPr>
          <w:rFonts w:cs="Times New Roman"/>
          <w:i/>
          <w:sz w:val="26"/>
          <w:szCs w:val="26"/>
        </w:rPr>
        <w:t xml:space="preserve"> splátku úvěru z minulých let 2 mil. Kč. </w:t>
      </w:r>
      <w:r>
        <w:rPr>
          <w:rFonts w:cs="Times New Roman"/>
          <w:i/>
          <w:sz w:val="26"/>
          <w:szCs w:val="26"/>
        </w:rPr>
        <w:t xml:space="preserve">Určíme plnění na pol. 8115 k 31. 12. 2019. </w:t>
      </w:r>
      <w:r w:rsidRPr="003C14D2">
        <w:rPr>
          <w:rFonts w:cs="Times New Roman"/>
          <w:i/>
          <w:sz w:val="26"/>
          <w:szCs w:val="26"/>
        </w:rPr>
        <w:t xml:space="preserve"> </w:t>
      </w:r>
    </w:p>
    <w:p w:rsidR="00E0096A" w:rsidRPr="003C14D2" w:rsidRDefault="00E0096A" w:rsidP="00E0096A">
      <w:pPr>
        <w:spacing w:line="240" w:lineRule="auto"/>
        <w:jc w:val="both"/>
        <w:rPr>
          <w:rFonts w:cs="Times New Roman"/>
          <w:i/>
          <w:sz w:val="26"/>
          <w:szCs w:val="26"/>
        </w:rPr>
      </w:pPr>
      <w:r w:rsidRPr="003C14D2">
        <w:rPr>
          <w:rFonts w:cs="Times New Roman"/>
          <w:i/>
          <w:sz w:val="26"/>
          <w:szCs w:val="26"/>
        </w:rPr>
        <w:t>P</w:t>
      </w:r>
      <w:r>
        <w:rPr>
          <w:rFonts w:cs="Times New Roman"/>
          <w:i/>
          <w:sz w:val="26"/>
          <w:szCs w:val="26"/>
        </w:rPr>
        <w:t xml:space="preserve">očáteční stav </w:t>
      </w:r>
      <w:r w:rsidRPr="003C14D2">
        <w:rPr>
          <w:rFonts w:cs="Times New Roman"/>
          <w:i/>
          <w:sz w:val="26"/>
          <w:szCs w:val="26"/>
        </w:rPr>
        <w:t xml:space="preserve">ZBÚ 11 + </w:t>
      </w:r>
      <w:r>
        <w:rPr>
          <w:rFonts w:cs="Times New Roman"/>
          <w:i/>
          <w:sz w:val="26"/>
          <w:szCs w:val="26"/>
        </w:rPr>
        <w:t>počáteční stav</w:t>
      </w:r>
      <w:r w:rsidRPr="003C14D2">
        <w:rPr>
          <w:rFonts w:cs="Times New Roman"/>
          <w:i/>
          <w:sz w:val="26"/>
          <w:szCs w:val="26"/>
        </w:rPr>
        <w:t xml:space="preserve"> fond</w:t>
      </w:r>
      <w:r>
        <w:rPr>
          <w:rFonts w:cs="Times New Roman"/>
          <w:i/>
          <w:sz w:val="26"/>
          <w:szCs w:val="26"/>
        </w:rPr>
        <w:t>ů</w:t>
      </w:r>
      <w:r w:rsidRPr="003C14D2">
        <w:rPr>
          <w:rFonts w:cs="Times New Roman"/>
          <w:i/>
          <w:sz w:val="26"/>
          <w:szCs w:val="26"/>
        </w:rPr>
        <w:t xml:space="preserve"> 0,9 + </w:t>
      </w:r>
      <w:r>
        <w:rPr>
          <w:rFonts w:cs="Times New Roman"/>
          <w:i/>
          <w:sz w:val="26"/>
          <w:szCs w:val="26"/>
        </w:rPr>
        <w:t>počáteční stav oddělené</w:t>
      </w:r>
      <w:r w:rsidRPr="003C14D2">
        <w:rPr>
          <w:rFonts w:cs="Times New Roman"/>
          <w:i/>
          <w:sz w:val="26"/>
          <w:szCs w:val="26"/>
        </w:rPr>
        <w:t xml:space="preserve"> pokladn</w:t>
      </w:r>
      <w:r>
        <w:rPr>
          <w:rFonts w:cs="Times New Roman"/>
          <w:i/>
          <w:sz w:val="26"/>
          <w:szCs w:val="26"/>
        </w:rPr>
        <w:t>y</w:t>
      </w:r>
      <w:r w:rsidRPr="003C14D2">
        <w:rPr>
          <w:rFonts w:cs="Times New Roman"/>
          <w:i/>
          <w:sz w:val="26"/>
          <w:szCs w:val="26"/>
        </w:rPr>
        <w:t xml:space="preserve"> 0,1 + příjmy 40 – výdaje 44 + přijatý úvěr 8 – splátka úvěru 2 = </w:t>
      </w:r>
      <w:r>
        <w:rPr>
          <w:rFonts w:cs="Times New Roman"/>
          <w:i/>
          <w:sz w:val="26"/>
          <w:szCs w:val="26"/>
        </w:rPr>
        <w:t>konečný stav</w:t>
      </w:r>
      <w:r w:rsidRPr="003C14D2">
        <w:rPr>
          <w:rFonts w:cs="Times New Roman"/>
          <w:i/>
          <w:sz w:val="26"/>
          <w:szCs w:val="26"/>
        </w:rPr>
        <w:t xml:space="preserve"> 14</w:t>
      </w:r>
      <w:r>
        <w:rPr>
          <w:rFonts w:cs="Times New Roman"/>
          <w:i/>
          <w:sz w:val="26"/>
          <w:szCs w:val="26"/>
        </w:rPr>
        <w:t>.</w:t>
      </w:r>
    </w:p>
    <w:p w:rsidR="00E0096A" w:rsidRPr="007E787D" w:rsidRDefault="00E0096A" w:rsidP="00E0096A">
      <w:pPr>
        <w:spacing w:after="120" w:line="240" w:lineRule="auto"/>
        <w:jc w:val="both"/>
        <w:rPr>
          <w:rFonts w:cs="Times New Roman"/>
          <w:i/>
          <w:sz w:val="26"/>
          <w:szCs w:val="26"/>
        </w:rPr>
      </w:pPr>
      <w:r w:rsidRPr="007E787D">
        <w:rPr>
          <w:rFonts w:cs="Times New Roman"/>
          <w:i/>
          <w:sz w:val="26"/>
          <w:szCs w:val="26"/>
        </w:rPr>
        <w:t xml:space="preserve">PS 12 mil. Kč – KS 14 = - 2 = pol. 8115 (peníze přibyly o 2 mil. Kč). </w:t>
      </w:r>
    </w:p>
    <w:p w:rsidR="00E0096A" w:rsidRDefault="00E0096A" w:rsidP="00E0096A">
      <w:pPr>
        <w:spacing w:after="120" w:line="240" w:lineRule="auto"/>
        <w:jc w:val="both"/>
        <w:rPr>
          <w:rFonts w:cs="Times New Roman"/>
          <w:sz w:val="26"/>
          <w:szCs w:val="26"/>
        </w:rPr>
      </w:pPr>
      <w:r>
        <w:rPr>
          <w:rFonts w:cs="Times New Roman"/>
          <w:sz w:val="26"/>
          <w:szCs w:val="26"/>
        </w:rPr>
        <w:t xml:space="preserve">Finanční prostředky obce se v průběhu roku zvýšily o 2 mil. Kč, ačkoliv plnění rozpočtu bylo schodkové, neboť celkové příjmy dosáhly výše 40 mil. Kč a výdaje 44 mil. Kč (schodek ve výši 4 mil. Kč). Tato skutečnost je způsobena tím, že v rozpočtu se nepovažuje přijatý úvěr za příjem a splátka úvěru za výdaj (jedná se o financující operace). </w:t>
      </w:r>
    </w:p>
    <w:p w:rsidR="00E0096A" w:rsidRDefault="00E0096A" w:rsidP="00E0096A">
      <w:pPr>
        <w:spacing w:after="120" w:line="240" w:lineRule="auto"/>
        <w:jc w:val="both"/>
        <w:rPr>
          <w:rFonts w:cs="Times New Roman"/>
          <w:sz w:val="26"/>
          <w:szCs w:val="26"/>
        </w:rPr>
      </w:pPr>
      <w:r>
        <w:rPr>
          <w:rFonts w:cs="Times New Roman"/>
          <w:sz w:val="26"/>
          <w:szCs w:val="26"/>
        </w:rPr>
        <w:lastRenderedPageBreak/>
        <w:t xml:space="preserve">Ve výkazu pro hodnocení plnění rozpočtu (FIN 2-12 M) je položka 8115 uvedena v části III. výkazu, který obsahuje rozpis jednotlivých položek v třídě 8 – financování. </w:t>
      </w:r>
    </w:p>
    <w:p w:rsidR="00E0096A" w:rsidRDefault="00E0096A" w:rsidP="00E0096A">
      <w:pPr>
        <w:spacing w:after="120" w:line="240" w:lineRule="auto"/>
        <w:jc w:val="both"/>
        <w:rPr>
          <w:rFonts w:cs="Times New Roman"/>
          <w:sz w:val="26"/>
          <w:szCs w:val="26"/>
        </w:rPr>
      </w:pPr>
      <w:r>
        <w:rPr>
          <w:rFonts w:cs="Times New Roman"/>
          <w:sz w:val="26"/>
          <w:szCs w:val="26"/>
        </w:rPr>
        <w:t xml:space="preserve">Z části III. výkazu FIN 2-12 M se např. dozvíme tento údaj:  </w:t>
      </w:r>
    </w:p>
    <w:tbl>
      <w:tblPr>
        <w:tblW w:w="9271" w:type="dxa"/>
        <w:tblInd w:w="55" w:type="dxa"/>
        <w:tblCellMar>
          <w:left w:w="70" w:type="dxa"/>
          <w:right w:w="70" w:type="dxa"/>
        </w:tblCellMar>
        <w:tblLook w:val="04A0" w:firstRow="1" w:lastRow="0" w:firstColumn="1" w:lastColumn="0" w:noHBand="0" w:noVBand="1"/>
      </w:tblPr>
      <w:tblGrid>
        <w:gridCol w:w="3500"/>
        <w:gridCol w:w="880"/>
        <w:gridCol w:w="1731"/>
        <w:gridCol w:w="1580"/>
        <w:gridCol w:w="1580"/>
      </w:tblGrid>
      <w:tr w:rsidR="00E0096A" w:rsidRPr="002465BC" w:rsidTr="00A01625">
        <w:trPr>
          <w:trHeight w:val="270"/>
        </w:trPr>
        <w:tc>
          <w:tcPr>
            <w:tcW w:w="3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096A" w:rsidRPr="001100DE" w:rsidRDefault="00E0096A" w:rsidP="00A01625">
            <w:pPr>
              <w:spacing w:after="0" w:line="240" w:lineRule="auto"/>
              <w:jc w:val="center"/>
              <w:rPr>
                <w:b/>
                <w:color w:val="000000"/>
              </w:rPr>
            </w:pPr>
            <w:r w:rsidRPr="001100DE">
              <w:rPr>
                <w:b/>
                <w:color w:val="000000"/>
              </w:rPr>
              <w:t xml:space="preserve">Název </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096A" w:rsidRPr="001100DE" w:rsidRDefault="00E0096A" w:rsidP="00A01625">
            <w:pPr>
              <w:spacing w:after="0" w:line="240" w:lineRule="auto"/>
              <w:jc w:val="center"/>
              <w:rPr>
                <w:b/>
                <w:color w:val="000000"/>
              </w:rPr>
            </w:pPr>
            <w:r w:rsidRPr="001100DE">
              <w:rPr>
                <w:b/>
                <w:color w:val="000000"/>
              </w:rPr>
              <w:t>Pol</w:t>
            </w:r>
            <w:r>
              <w:rPr>
                <w:b/>
                <w:color w:val="000000"/>
              </w:rPr>
              <w:t>.</w:t>
            </w:r>
          </w:p>
        </w:tc>
        <w:tc>
          <w:tcPr>
            <w:tcW w:w="17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096A" w:rsidRPr="001100DE" w:rsidRDefault="00E0096A" w:rsidP="00A01625">
            <w:pPr>
              <w:spacing w:after="0" w:line="240" w:lineRule="auto"/>
              <w:jc w:val="center"/>
              <w:rPr>
                <w:b/>
                <w:color w:val="000000"/>
              </w:rPr>
            </w:pPr>
            <w:proofErr w:type="spellStart"/>
            <w:r w:rsidRPr="001100DE">
              <w:rPr>
                <w:b/>
                <w:color w:val="000000"/>
              </w:rPr>
              <w:t>Schv</w:t>
            </w:r>
            <w:proofErr w:type="spellEnd"/>
            <w:r w:rsidRPr="001100DE">
              <w:rPr>
                <w:b/>
                <w:color w:val="000000"/>
              </w:rPr>
              <w:t>. rozpočet</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096A" w:rsidRPr="001100DE" w:rsidRDefault="00E0096A" w:rsidP="00A01625">
            <w:pPr>
              <w:spacing w:after="0" w:line="240" w:lineRule="auto"/>
              <w:jc w:val="center"/>
              <w:rPr>
                <w:b/>
                <w:color w:val="000000"/>
              </w:rPr>
            </w:pPr>
            <w:proofErr w:type="spellStart"/>
            <w:r w:rsidRPr="001100DE">
              <w:rPr>
                <w:b/>
                <w:color w:val="000000"/>
              </w:rPr>
              <w:t>Upr</w:t>
            </w:r>
            <w:proofErr w:type="spellEnd"/>
            <w:r w:rsidRPr="001100DE">
              <w:rPr>
                <w:b/>
                <w:color w:val="000000"/>
              </w:rPr>
              <w:t>. rozpočet</w:t>
            </w:r>
          </w:p>
        </w:tc>
        <w:tc>
          <w:tcPr>
            <w:tcW w:w="15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096A" w:rsidRPr="001100DE" w:rsidRDefault="00E0096A" w:rsidP="00A01625">
            <w:pPr>
              <w:spacing w:after="0" w:line="240" w:lineRule="auto"/>
              <w:jc w:val="center"/>
              <w:rPr>
                <w:b/>
                <w:color w:val="000000"/>
              </w:rPr>
            </w:pPr>
            <w:r>
              <w:rPr>
                <w:b/>
                <w:color w:val="000000"/>
              </w:rPr>
              <w:t>Plnění</w:t>
            </w:r>
          </w:p>
        </w:tc>
      </w:tr>
      <w:tr w:rsidR="00E0096A" w:rsidRPr="002465BC" w:rsidTr="00A01625">
        <w:trPr>
          <w:trHeight w:val="27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E0096A" w:rsidRPr="002465BC" w:rsidRDefault="00E0096A" w:rsidP="00A01625">
            <w:pPr>
              <w:spacing w:after="0" w:line="240" w:lineRule="auto"/>
              <w:rPr>
                <w:color w:val="000000"/>
              </w:rPr>
            </w:pPr>
            <w:r>
              <w:rPr>
                <w:color w:val="000000"/>
              </w:rPr>
              <w:t xml:space="preserve">Změny stavu </w:t>
            </w:r>
            <w:proofErr w:type="spellStart"/>
            <w:r>
              <w:rPr>
                <w:color w:val="000000"/>
              </w:rPr>
              <w:t>krátk</w:t>
            </w:r>
            <w:proofErr w:type="spellEnd"/>
            <w:r>
              <w:rPr>
                <w:color w:val="000000"/>
              </w:rPr>
              <w:t>. prostředků …</w:t>
            </w:r>
          </w:p>
        </w:tc>
        <w:tc>
          <w:tcPr>
            <w:tcW w:w="880" w:type="dxa"/>
            <w:tcBorders>
              <w:top w:val="nil"/>
              <w:left w:val="nil"/>
              <w:bottom w:val="single" w:sz="4" w:space="0" w:color="auto"/>
              <w:right w:val="single" w:sz="4" w:space="0" w:color="auto"/>
            </w:tcBorders>
            <w:shd w:val="clear" w:color="auto" w:fill="auto"/>
            <w:noWrap/>
            <w:vAlign w:val="center"/>
            <w:hideMark/>
          </w:tcPr>
          <w:p w:rsidR="00E0096A" w:rsidRPr="002465BC" w:rsidRDefault="00E0096A" w:rsidP="00A01625">
            <w:pPr>
              <w:spacing w:after="0" w:line="240" w:lineRule="auto"/>
              <w:jc w:val="center"/>
              <w:rPr>
                <w:color w:val="000000"/>
              </w:rPr>
            </w:pPr>
            <w:r w:rsidRPr="002465BC">
              <w:rPr>
                <w:color w:val="000000"/>
              </w:rPr>
              <w:t>811</w:t>
            </w:r>
            <w:r>
              <w:rPr>
                <w:color w:val="000000"/>
              </w:rPr>
              <w:t>5</w:t>
            </w:r>
          </w:p>
        </w:tc>
        <w:tc>
          <w:tcPr>
            <w:tcW w:w="1731" w:type="dxa"/>
            <w:tcBorders>
              <w:top w:val="nil"/>
              <w:left w:val="nil"/>
              <w:bottom w:val="single" w:sz="4" w:space="0" w:color="auto"/>
              <w:right w:val="single" w:sz="4" w:space="0" w:color="auto"/>
            </w:tcBorders>
            <w:shd w:val="clear" w:color="auto" w:fill="auto"/>
            <w:noWrap/>
            <w:vAlign w:val="bottom"/>
            <w:hideMark/>
          </w:tcPr>
          <w:p w:rsidR="00E0096A" w:rsidRPr="002465BC" w:rsidRDefault="00E0096A" w:rsidP="00A01625">
            <w:pPr>
              <w:spacing w:after="0" w:line="240" w:lineRule="auto"/>
              <w:jc w:val="right"/>
              <w:rPr>
                <w:color w:val="000000"/>
              </w:rPr>
            </w:pPr>
            <w:r>
              <w:rPr>
                <w:color w:val="000000"/>
              </w:rPr>
              <w:t>1 000 000,00</w:t>
            </w:r>
          </w:p>
        </w:tc>
        <w:tc>
          <w:tcPr>
            <w:tcW w:w="1580" w:type="dxa"/>
            <w:tcBorders>
              <w:top w:val="nil"/>
              <w:left w:val="nil"/>
              <w:bottom w:val="single" w:sz="4" w:space="0" w:color="auto"/>
              <w:right w:val="single" w:sz="4" w:space="0" w:color="auto"/>
            </w:tcBorders>
            <w:shd w:val="clear" w:color="auto" w:fill="auto"/>
            <w:noWrap/>
            <w:vAlign w:val="bottom"/>
            <w:hideMark/>
          </w:tcPr>
          <w:p w:rsidR="00E0096A" w:rsidRPr="002465BC" w:rsidRDefault="00E0096A" w:rsidP="00A01625">
            <w:pPr>
              <w:spacing w:after="0" w:line="240" w:lineRule="auto"/>
              <w:jc w:val="right"/>
              <w:rPr>
                <w:color w:val="000000"/>
              </w:rPr>
            </w:pPr>
            <w:r>
              <w:rPr>
                <w:color w:val="000000"/>
              </w:rPr>
              <w:t>1 000 000,00</w:t>
            </w:r>
          </w:p>
        </w:tc>
        <w:tc>
          <w:tcPr>
            <w:tcW w:w="1580" w:type="dxa"/>
            <w:tcBorders>
              <w:top w:val="nil"/>
              <w:left w:val="nil"/>
              <w:bottom w:val="single" w:sz="4" w:space="0" w:color="auto"/>
              <w:right w:val="single" w:sz="4" w:space="0" w:color="auto"/>
            </w:tcBorders>
            <w:shd w:val="clear" w:color="auto" w:fill="auto"/>
            <w:noWrap/>
            <w:vAlign w:val="bottom"/>
            <w:hideMark/>
          </w:tcPr>
          <w:p w:rsidR="00E0096A" w:rsidRPr="002465BC" w:rsidRDefault="00E0096A" w:rsidP="00A01625">
            <w:pPr>
              <w:spacing w:after="0" w:line="240" w:lineRule="auto"/>
              <w:jc w:val="right"/>
              <w:rPr>
                <w:color w:val="000000"/>
              </w:rPr>
            </w:pPr>
            <w:r>
              <w:t>-2 17</w:t>
            </w:r>
            <w:r w:rsidRPr="002465BC">
              <w:t>4 172,50</w:t>
            </w:r>
          </w:p>
        </w:tc>
      </w:tr>
    </w:tbl>
    <w:p w:rsidR="00E0096A" w:rsidRPr="00B60A63" w:rsidRDefault="00E0096A" w:rsidP="00E0096A">
      <w:pPr>
        <w:spacing w:before="160" w:after="120" w:line="240" w:lineRule="auto"/>
        <w:jc w:val="both"/>
        <w:rPr>
          <w:sz w:val="26"/>
          <w:szCs w:val="26"/>
        </w:rPr>
      </w:pPr>
      <w:r w:rsidRPr="00546549">
        <w:rPr>
          <w:sz w:val="26"/>
          <w:szCs w:val="26"/>
        </w:rPr>
        <w:t>Výkaz FIN 2-12 M</w:t>
      </w:r>
      <w:r>
        <w:rPr>
          <w:sz w:val="26"/>
          <w:szCs w:val="26"/>
        </w:rPr>
        <w:t xml:space="preserve"> </w:t>
      </w:r>
      <w:r w:rsidRPr="00546549">
        <w:rPr>
          <w:sz w:val="26"/>
          <w:szCs w:val="26"/>
        </w:rPr>
        <w:t>obsahuje bližší informace k plnění pol. 8115 v části VI. (stavy a změny stavů na bankovních účtech a v pokladně)</w:t>
      </w:r>
      <w:r>
        <w:rPr>
          <w:sz w:val="26"/>
          <w:szCs w:val="26"/>
        </w:rPr>
        <w:t xml:space="preserve">:  </w:t>
      </w:r>
    </w:p>
    <w:tbl>
      <w:tblPr>
        <w:tblW w:w="8240" w:type="dxa"/>
        <w:tblInd w:w="53" w:type="dxa"/>
        <w:tblCellMar>
          <w:left w:w="70" w:type="dxa"/>
          <w:right w:w="70" w:type="dxa"/>
        </w:tblCellMar>
        <w:tblLook w:val="04A0" w:firstRow="1" w:lastRow="0" w:firstColumn="1" w:lastColumn="0" w:noHBand="0" w:noVBand="1"/>
      </w:tblPr>
      <w:tblGrid>
        <w:gridCol w:w="2600"/>
        <w:gridCol w:w="1880"/>
        <w:gridCol w:w="1880"/>
        <w:gridCol w:w="1880"/>
      </w:tblGrid>
      <w:tr w:rsidR="00E0096A" w:rsidRPr="0047306C" w:rsidTr="00A01625">
        <w:trPr>
          <w:trHeight w:val="330"/>
        </w:trPr>
        <w:tc>
          <w:tcPr>
            <w:tcW w:w="2600"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rsidR="00E0096A" w:rsidRPr="0047306C" w:rsidRDefault="00E0096A" w:rsidP="00A01625">
            <w:pPr>
              <w:spacing w:after="0" w:line="240" w:lineRule="auto"/>
              <w:jc w:val="center"/>
              <w:rPr>
                <w:b/>
                <w:bCs/>
              </w:rPr>
            </w:pPr>
            <w:r w:rsidRPr="0047306C">
              <w:rPr>
                <w:b/>
                <w:bCs/>
              </w:rPr>
              <w:t>Položka (název)</w:t>
            </w:r>
          </w:p>
        </w:tc>
        <w:tc>
          <w:tcPr>
            <w:tcW w:w="188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47306C" w:rsidRDefault="00E0096A" w:rsidP="00A01625">
            <w:pPr>
              <w:spacing w:after="0" w:line="240" w:lineRule="auto"/>
              <w:jc w:val="center"/>
              <w:rPr>
                <w:b/>
                <w:bCs/>
              </w:rPr>
            </w:pPr>
            <w:r w:rsidRPr="0047306C">
              <w:rPr>
                <w:b/>
                <w:bCs/>
              </w:rPr>
              <w:t>PS k 1.1.</w:t>
            </w:r>
          </w:p>
        </w:tc>
        <w:tc>
          <w:tcPr>
            <w:tcW w:w="188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47306C" w:rsidRDefault="00E0096A" w:rsidP="00A01625">
            <w:pPr>
              <w:spacing w:after="0" w:line="240" w:lineRule="auto"/>
              <w:jc w:val="center"/>
              <w:rPr>
                <w:b/>
                <w:bCs/>
              </w:rPr>
            </w:pPr>
            <w:r w:rsidRPr="0047306C">
              <w:rPr>
                <w:b/>
                <w:bCs/>
              </w:rPr>
              <w:t>Stav ke konci období</w:t>
            </w:r>
          </w:p>
        </w:tc>
        <w:tc>
          <w:tcPr>
            <w:tcW w:w="188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47306C" w:rsidRDefault="00E0096A" w:rsidP="00A01625">
            <w:pPr>
              <w:spacing w:after="0" w:line="240" w:lineRule="auto"/>
              <w:jc w:val="center"/>
              <w:rPr>
                <w:b/>
                <w:bCs/>
              </w:rPr>
            </w:pPr>
            <w:r w:rsidRPr="0047306C">
              <w:rPr>
                <w:b/>
                <w:bCs/>
              </w:rPr>
              <w:t>Změna stavu</w:t>
            </w:r>
          </w:p>
        </w:tc>
      </w:tr>
      <w:tr w:rsidR="00E0096A" w:rsidRPr="0047306C" w:rsidTr="00A01625">
        <w:trPr>
          <w:trHeight w:val="330"/>
        </w:trPr>
        <w:tc>
          <w:tcPr>
            <w:tcW w:w="2600"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pPr>
            <w:r>
              <w:t>ZBÚ ÚSC</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15 355 585,00</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17 540 347,50</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-2 184 762,50</w:t>
            </w:r>
          </w:p>
        </w:tc>
      </w:tr>
      <w:tr w:rsidR="00E0096A" w:rsidRPr="0047306C" w:rsidTr="00A01625">
        <w:trPr>
          <w:trHeight w:val="330"/>
        </w:trPr>
        <w:tc>
          <w:tcPr>
            <w:tcW w:w="2600"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pPr>
            <w:r w:rsidRPr="0047306C">
              <w:t>Běžné účty fondů ÚSC</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450 432,00</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419 842,00</w:t>
            </w:r>
          </w:p>
        </w:tc>
        <w:tc>
          <w:tcPr>
            <w:tcW w:w="1880" w:type="dxa"/>
            <w:tcBorders>
              <w:top w:val="nil"/>
              <w:left w:val="nil"/>
              <w:bottom w:val="single" w:sz="18" w:space="0" w:color="333333"/>
              <w:right w:val="single" w:sz="4" w:space="0" w:color="333333"/>
            </w:tcBorders>
            <w:shd w:val="clear" w:color="auto" w:fill="auto"/>
            <w:noWrap/>
            <w:vAlign w:val="center"/>
            <w:hideMark/>
          </w:tcPr>
          <w:p w:rsidR="00E0096A" w:rsidRPr="0047306C" w:rsidRDefault="00E0096A" w:rsidP="00A01625">
            <w:pPr>
              <w:spacing w:after="0" w:line="240" w:lineRule="auto"/>
              <w:jc w:val="right"/>
            </w:pPr>
            <w:r w:rsidRPr="0047306C">
              <w:t>30 590,00</w:t>
            </w:r>
          </w:p>
        </w:tc>
      </w:tr>
      <w:tr w:rsidR="00E0096A" w:rsidRPr="0047306C" w:rsidTr="00A01625">
        <w:trPr>
          <w:trHeight w:val="330"/>
        </w:trPr>
        <w:tc>
          <w:tcPr>
            <w:tcW w:w="2600"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2465BC" w:rsidRDefault="00E0096A" w:rsidP="00A01625">
            <w:pPr>
              <w:spacing w:after="0" w:line="240" w:lineRule="auto"/>
            </w:pPr>
            <w:r w:rsidRPr="002465BC">
              <w:t>Běžné účty celkem</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2465BC" w:rsidRDefault="00E0096A" w:rsidP="00A01625">
            <w:pPr>
              <w:spacing w:after="0" w:line="240" w:lineRule="auto"/>
              <w:jc w:val="right"/>
            </w:pPr>
            <w:r w:rsidRPr="002465BC">
              <w:t>15 806 017,00</w:t>
            </w:r>
          </w:p>
        </w:tc>
        <w:tc>
          <w:tcPr>
            <w:tcW w:w="1880" w:type="dxa"/>
            <w:tcBorders>
              <w:top w:val="nil"/>
              <w:left w:val="nil"/>
              <w:bottom w:val="single" w:sz="4" w:space="0" w:color="333333"/>
              <w:right w:val="single" w:sz="18" w:space="0" w:color="333333"/>
            </w:tcBorders>
            <w:shd w:val="clear" w:color="auto" w:fill="auto"/>
            <w:noWrap/>
            <w:vAlign w:val="center"/>
            <w:hideMark/>
          </w:tcPr>
          <w:p w:rsidR="00E0096A" w:rsidRPr="002465BC" w:rsidRDefault="00E0096A" w:rsidP="00A01625">
            <w:pPr>
              <w:spacing w:after="0" w:line="240" w:lineRule="auto"/>
              <w:jc w:val="right"/>
            </w:pPr>
            <w:r w:rsidRPr="002465BC">
              <w:t>17 960 189,50</w:t>
            </w:r>
          </w:p>
        </w:tc>
        <w:tc>
          <w:tcPr>
            <w:tcW w:w="1880" w:type="dxa"/>
            <w:tcBorders>
              <w:top w:val="single" w:sz="18" w:space="0" w:color="333333"/>
              <w:left w:val="single" w:sz="18" w:space="0" w:color="333333"/>
              <w:bottom w:val="single" w:sz="4" w:space="0" w:color="333333"/>
              <w:right w:val="single" w:sz="18" w:space="0" w:color="333333"/>
            </w:tcBorders>
            <w:shd w:val="clear" w:color="auto" w:fill="auto"/>
            <w:noWrap/>
            <w:vAlign w:val="center"/>
            <w:hideMark/>
          </w:tcPr>
          <w:p w:rsidR="00E0096A" w:rsidRPr="002465BC" w:rsidRDefault="00E0096A" w:rsidP="00A01625">
            <w:pPr>
              <w:spacing w:after="0" w:line="240" w:lineRule="auto"/>
              <w:jc w:val="right"/>
            </w:pPr>
            <w:r w:rsidRPr="002465BC">
              <w:t>-2 154 172,50</w:t>
            </w:r>
          </w:p>
        </w:tc>
      </w:tr>
      <w:tr w:rsidR="00E0096A" w:rsidRPr="0047306C" w:rsidTr="00A01625">
        <w:trPr>
          <w:trHeight w:val="330"/>
        </w:trPr>
        <w:tc>
          <w:tcPr>
            <w:tcW w:w="2600"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2465BC" w:rsidRDefault="00E0096A" w:rsidP="00A01625">
            <w:pPr>
              <w:spacing w:after="0" w:line="240" w:lineRule="auto"/>
            </w:pPr>
            <w:r w:rsidRPr="002465BC">
              <w:t>Pokladna</w:t>
            </w:r>
          </w:p>
        </w:tc>
        <w:tc>
          <w:tcPr>
            <w:tcW w:w="1880" w:type="dxa"/>
            <w:tcBorders>
              <w:top w:val="nil"/>
              <w:left w:val="nil"/>
              <w:bottom w:val="single" w:sz="4" w:space="0" w:color="333333"/>
              <w:right w:val="single" w:sz="4" w:space="0" w:color="333333"/>
            </w:tcBorders>
            <w:shd w:val="clear" w:color="auto" w:fill="auto"/>
            <w:noWrap/>
            <w:vAlign w:val="center"/>
            <w:hideMark/>
          </w:tcPr>
          <w:p w:rsidR="00E0096A" w:rsidRPr="002465BC" w:rsidRDefault="00E0096A" w:rsidP="00A01625">
            <w:pPr>
              <w:spacing w:after="0" w:line="240" w:lineRule="auto"/>
              <w:jc w:val="right"/>
            </w:pPr>
            <w:r w:rsidRPr="002465BC">
              <w:t>0,00</w:t>
            </w:r>
          </w:p>
        </w:tc>
        <w:tc>
          <w:tcPr>
            <w:tcW w:w="1880" w:type="dxa"/>
            <w:tcBorders>
              <w:top w:val="nil"/>
              <w:left w:val="nil"/>
              <w:bottom w:val="single" w:sz="4" w:space="0" w:color="333333"/>
              <w:right w:val="single" w:sz="18" w:space="0" w:color="333333"/>
            </w:tcBorders>
            <w:shd w:val="clear" w:color="auto" w:fill="auto"/>
            <w:noWrap/>
            <w:vAlign w:val="center"/>
            <w:hideMark/>
          </w:tcPr>
          <w:p w:rsidR="00E0096A" w:rsidRPr="002465BC" w:rsidRDefault="00E0096A" w:rsidP="00A01625">
            <w:pPr>
              <w:spacing w:after="0" w:line="240" w:lineRule="auto"/>
              <w:jc w:val="right"/>
            </w:pPr>
            <w:r w:rsidRPr="002465BC">
              <w:t>20 000,00</w:t>
            </w:r>
          </w:p>
        </w:tc>
        <w:tc>
          <w:tcPr>
            <w:tcW w:w="1880" w:type="dxa"/>
            <w:tcBorders>
              <w:top w:val="single" w:sz="4" w:space="0" w:color="333333"/>
              <w:left w:val="single" w:sz="18" w:space="0" w:color="333333"/>
              <w:bottom w:val="single" w:sz="18" w:space="0" w:color="333333"/>
              <w:right w:val="single" w:sz="18" w:space="0" w:color="333333"/>
            </w:tcBorders>
            <w:shd w:val="clear" w:color="auto" w:fill="auto"/>
            <w:noWrap/>
            <w:vAlign w:val="center"/>
            <w:hideMark/>
          </w:tcPr>
          <w:p w:rsidR="00E0096A" w:rsidRPr="002465BC" w:rsidRDefault="00E0096A" w:rsidP="00A01625">
            <w:pPr>
              <w:spacing w:after="0" w:line="240" w:lineRule="auto"/>
              <w:jc w:val="right"/>
            </w:pPr>
            <w:r w:rsidRPr="002465BC">
              <w:t>-20 000,00</w:t>
            </w:r>
          </w:p>
        </w:tc>
      </w:tr>
    </w:tbl>
    <w:p w:rsidR="00E0096A" w:rsidRPr="009E0B26" w:rsidRDefault="00E0096A" w:rsidP="00E0096A">
      <w:pPr>
        <w:spacing w:before="160" w:line="240" w:lineRule="auto"/>
        <w:jc w:val="both"/>
        <w:rPr>
          <w:sz w:val="26"/>
          <w:szCs w:val="26"/>
        </w:rPr>
      </w:pPr>
      <w:r>
        <w:rPr>
          <w:sz w:val="26"/>
          <w:szCs w:val="26"/>
        </w:rPr>
        <w:t>Součet z</w:t>
      </w:r>
      <w:r w:rsidRPr="009E0B26">
        <w:rPr>
          <w:sz w:val="26"/>
          <w:szCs w:val="26"/>
        </w:rPr>
        <w:t>měn</w:t>
      </w:r>
      <w:r>
        <w:rPr>
          <w:sz w:val="26"/>
          <w:szCs w:val="26"/>
        </w:rPr>
        <w:t>y</w:t>
      </w:r>
      <w:r w:rsidRPr="009E0B26">
        <w:rPr>
          <w:sz w:val="26"/>
          <w:szCs w:val="26"/>
        </w:rPr>
        <w:t xml:space="preserve"> stavu na běžných účtech (ve výkazu jako součet základních běžných účtů a účtů peněžních účtů) a pokladny (pokud je účtovány v režimu tzv. oddělených pokladen) odpovídá plnění položky 8115 v části III. výkazu.</w:t>
      </w:r>
    </w:p>
    <w:p w:rsidR="00E0096A" w:rsidRPr="00AB33EC" w:rsidRDefault="00E0096A" w:rsidP="00E0096A">
      <w:pPr>
        <w:spacing w:after="120" w:line="240" w:lineRule="auto"/>
        <w:rPr>
          <w:rFonts w:cs="Times New Roman"/>
          <w:b/>
          <w:i/>
          <w:sz w:val="26"/>
          <w:szCs w:val="26"/>
        </w:rPr>
      </w:pPr>
      <w:r w:rsidRPr="00AB33EC">
        <w:rPr>
          <w:rFonts w:cs="Times New Roman"/>
          <w:b/>
          <w:i/>
          <w:sz w:val="26"/>
          <w:szCs w:val="26"/>
        </w:rPr>
        <w:t xml:space="preserve">Příklad </w:t>
      </w:r>
    </w:p>
    <w:p w:rsidR="00E0096A" w:rsidRPr="00541EDF" w:rsidRDefault="00E0096A" w:rsidP="00E0096A">
      <w:pPr>
        <w:spacing w:after="120" w:line="240" w:lineRule="auto"/>
        <w:jc w:val="both"/>
        <w:rPr>
          <w:rFonts w:cs="Times New Roman"/>
          <w:i/>
          <w:sz w:val="26"/>
          <w:szCs w:val="26"/>
        </w:rPr>
      </w:pPr>
      <w:r>
        <w:rPr>
          <w:rFonts w:cs="Times New Roman"/>
          <w:i/>
          <w:sz w:val="26"/>
          <w:szCs w:val="26"/>
        </w:rPr>
        <w:t xml:space="preserve">Z údajů </w:t>
      </w:r>
      <w:r w:rsidRPr="00541EDF">
        <w:rPr>
          <w:rFonts w:cs="Times New Roman"/>
          <w:i/>
          <w:sz w:val="26"/>
          <w:szCs w:val="26"/>
        </w:rPr>
        <w:t xml:space="preserve">o plnění položek třídy 8 (financování) k 31. 12. určíme, zda obci </w:t>
      </w:r>
      <w:r>
        <w:rPr>
          <w:rFonts w:cs="Times New Roman"/>
          <w:i/>
          <w:sz w:val="26"/>
          <w:szCs w:val="26"/>
        </w:rPr>
        <w:t xml:space="preserve">během roku </w:t>
      </w:r>
      <w:r w:rsidRPr="00541EDF">
        <w:rPr>
          <w:rFonts w:cs="Times New Roman"/>
          <w:i/>
          <w:sz w:val="26"/>
          <w:szCs w:val="26"/>
        </w:rPr>
        <w:t>přibyly či ubyly peníze a zda plnění rozp</w:t>
      </w:r>
      <w:r>
        <w:rPr>
          <w:rFonts w:cs="Times New Roman"/>
          <w:i/>
          <w:sz w:val="26"/>
          <w:szCs w:val="26"/>
        </w:rPr>
        <w:t>očtu</w:t>
      </w:r>
      <w:r w:rsidRPr="00541EDF">
        <w:rPr>
          <w:rFonts w:cs="Times New Roman"/>
          <w:i/>
          <w:sz w:val="26"/>
          <w:szCs w:val="26"/>
        </w:rPr>
        <w:t xml:space="preserve"> bylo přebytkové či schodkové. </w:t>
      </w:r>
    </w:p>
    <w:p w:rsidR="00E0096A" w:rsidRPr="00F26B86" w:rsidRDefault="00E0096A" w:rsidP="00E0096A">
      <w:pPr>
        <w:spacing w:after="120" w:line="240" w:lineRule="auto"/>
        <w:rPr>
          <w:rFonts w:cs="Times New Roman"/>
          <w:sz w:val="26"/>
          <w:szCs w:val="26"/>
        </w:rPr>
      </w:pPr>
      <w:r>
        <w:rPr>
          <w:rFonts w:cs="Times New Roman"/>
          <w:sz w:val="26"/>
          <w:szCs w:val="26"/>
        </w:rPr>
        <w:t>Obec A</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E0096A" w:rsidRPr="003E4B92" w:rsidTr="00A01625">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Pr>
                <w:rFonts w:cs="Times New Roman"/>
                <w:b/>
                <w:bCs/>
              </w:rPr>
              <w:t>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 xml:space="preserve">Plnění </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rPr>
                <w:rFonts w:cs="Times New Roman"/>
                <w:b/>
              </w:rPr>
            </w:pPr>
            <w:r w:rsidRPr="00811E06">
              <w:rPr>
                <w:rFonts w:cs="Times New Roman"/>
                <w:b/>
              </w:rPr>
              <w:t>Financování</w:t>
            </w:r>
            <w:r>
              <w:rPr>
                <w:rFonts w:cs="Times New Roman"/>
                <w:b/>
              </w:rPr>
              <w:t xml:space="preserve"> celkem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rPr>
                <w:rFonts w:cs="Times New Roman"/>
                <w:b/>
              </w:rPr>
            </w:pP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-750 000,00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2 206 820,66</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2 206 820,06</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 xml:space="preserve">Uhrazené splátky </w:t>
            </w:r>
            <w:proofErr w:type="spellStart"/>
            <w:r w:rsidRPr="003E4B92">
              <w:rPr>
                <w:rFonts w:cs="Times New Roman"/>
              </w:rPr>
              <w:t>krátk</w:t>
            </w:r>
            <w:r>
              <w:rPr>
                <w:rFonts w:cs="Times New Roman"/>
              </w:rPr>
              <w:t>odob</w:t>
            </w:r>
            <w:proofErr w:type="spellEnd"/>
            <w:r>
              <w:rPr>
                <w:rFonts w:cs="Times New Roman"/>
              </w:rPr>
              <w:t xml:space="preserve">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8114</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-750 000,00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-720 000,00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-720 000,00</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Změna stavu…</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8115</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1 126 820,66</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1 126 820,06</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Dlouhodobé přijaté půjčené…</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8123</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1 800 000,00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1 800 000,00</w:t>
            </w:r>
          </w:p>
        </w:tc>
      </w:tr>
      <w:tr w:rsidR="00E0096A" w:rsidRPr="003E4B92" w:rsidTr="00A01625">
        <w:trPr>
          <w:trHeight w:val="255"/>
        </w:trPr>
        <w:tc>
          <w:tcPr>
            <w:tcW w:w="3275"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700"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666"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701"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886"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r>
    </w:tbl>
    <w:p w:rsidR="00E0096A" w:rsidRDefault="00E0096A" w:rsidP="00E0096A">
      <w:pPr>
        <w:spacing w:after="120" w:line="240" w:lineRule="auto"/>
        <w:jc w:val="both"/>
        <w:rPr>
          <w:sz w:val="26"/>
          <w:szCs w:val="26"/>
        </w:rPr>
      </w:pPr>
      <w:r>
        <w:rPr>
          <w:sz w:val="26"/>
          <w:szCs w:val="26"/>
        </w:rPr>
        <w:t xml:space="preserve">Obci v průběhu roku ubyly peníze o 1 127 tis. Kč, celkové plnění rozpočtu bylo schodkové se schodkem 2 207 tis. Kč. Schodek jsme zjistili z celkového financování, protože vždy platí, že financování je </w:t>
      </w:r>
      <w:r w:rsidRPr="00AF26AF">
        <w:rPr>
          <w:sz w:val="26"/>
          <w:szCs w:val="26"/>
        </w:rPr>
        <w:t>v souhrnné hodnotě opačným číslem k číslu vyjadřujícímu rozdíl mezi příjmy a výdaj</w:t>
      </w:r>
      <w:r>
        <w:rPr>
          <w:sz w:val="26"/>
          <w:szCs w:val="26"/>
        </w:rPr>
        <w:t xml:space="preserve">i (rozdíl mezi příjmy a výdaji tak musel být - 2 207 tis. Kč; pokud jsou výdaje větší než příjmy, je rozpočet schodkový). </w:t>
      </w:r>
    </w:p>
    <w:p w:rsidR="00E0096A" w:rsidRDefault="00E0096A" w:rsidP="00E0096A">
      <w:pPr>
        <w:spacing w:after="120" w:line="240" w:lineRule="auto"/>
        <w:jc w:val="both"/>
        <w:rPr>
          <w:b/>
          <w:smallCaps/>
        </w:rPr>
      </w:pPr>
      <w:r>
        <w:rPr>
          <w:sz w:val="26"/>
          <w:szCs w:val="26"/>
        </w:rPr>
        <w:t xml:space="preserve">Peníze ubyly o menší částku, než jaké výše dosáhl schodek. To je způsobeno tím, že obec přijala na úvěrech </w:t>
      </w:r>
      <w:proofErr w:type="gramStart"/>
      <w:r>
        <w:rPr>
          <w:sz w:val="26"/>
          <w:szCs w:val="26"/>
        </w:rPr>
        <w:t>více než</w:t>
      </w:r>
      <w:proofErr w:type="gramEnd"/>
      <w:r>
        <w:rPr>
          <w:sz w:val="26"/>
          <w:szCs w:val="26"/>
        </w:rPr>
        <w:t xml:space="preserve"> kolik zaplatila na jejich splátkách. Schodek rozpočtu tak byl z části 1 080 tis. Kč financovaný přijatým úvěrem (1 800 – 720 tis.) a z části snížením prostředků na vlastních účtech (1 127 tis. Kč). </w:t>
      </w:r>
    </w:p>
    <w:p w:rsidR="00E0096A" w:rsidRPr="00771972" w:rsidRDefault="00E0096A" w:rsidP="00E0096A">
      <w:pPr>
        <w:spacing w:after="120" w:line="240" w:lineRule="auto"/>
        <w:rPr>
          <w:rFonts w:cs="Times New Roman"/>
          <w:sz w:val="26"/>
          <w:szCs w:val="26"/>
        </w:rPr>
      </w:pPr>
      <w:r>
        <w:rPr>
          <w:rFonts w:cs="Times New Roman"/>
          <w:sz w:val="26"/>
          <w:szCs w:val="26"/>
        </w:rPr>
        <w:t>Obec B</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E0096A" w:rsidRPr="003E4B92" w:rsidTr="00A01625">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Pr>
                <w:rFonts w:cs="Times New Roman"/>
                <w:b/>
                <w:bCs/>
              </w:rPr>
              <w:t>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 xml:space="preserve">Plnění </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rPr>
                <w:rFonts w:cs="Times New Roman"/>
                <w:b/>
              </w:rPr>
            </w:pPr>
            <w:r w:rsidRPr="00811E06">
              <w:rPr>
                <w:rFonts w:cs="Times New Roman"/>
                <w:b/>
              </w:rPr>
              <w:t>Financování</w:t>
            </w:r>
            <w:r>
              <w:rPr>
                <w:rFonts w:cs="Times New Roman"/>
                <w:b/>
              </w:rPr>
              <w:t xml:space="preserve"> celkem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rPr>
                <w:rFonts w:cs="Times New Roman"/>
                <w:b/>
              </w:rPr>
            </w:pP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2 250 000,00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22 279 000,00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jc w:val="right"/>
              <w:rPr>
                <w:rFonts w:cs="Times New Roman"/>
                <w:b/>
              </w:rPr>
            </w:pPr>
            <w:r w:rsidRPr="00811E06">
              <w:rPr>
                <w:rFonts w:cs="Times New Roman"/>
                <w:b/>
              </w:rPr>
              <w:t>3 520 620,12</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Změna stavu…</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8115</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2 500 000,00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2 500 000,00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-4 966 170,82</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Dlouhodobé přijaté půjčené…</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8123</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20 000 000,00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8 706 973,14</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 xml:space="preserve">Uhrazené splátky </w:t>
            </w:r>
            <w:proofErr w:type="spellStart"/>
            <w:r w:rsidRPr="003E4B92">
              <w:rPr>
                <w:rFonts w:cs="Times New Roman"/>
              </w:rPr>
              <w:t>dlouhodo</w:t>
            </w:r>
            <w:r>
              <w:rPr>
                <w:rFonts w:cs="Times New Roman"/>
              </w:rPr>
              <w:t>b</w:t>
            </w:r>
            <w:proofErr w:type="spellEnd"/>
            <w:r>
              <w:rPr>
                <w:rFonts w:cs="Times New Roman"/>
              </w:rPr>
              <w:t xml:space="preserve">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8124</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-250 000,00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-221 000,00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-220 182,20</w:t>
            </w:r>
          </w:p>
        </w:tc>
      </w:tr>
      <w:tr w:rsidR="00E0096A" w:rsidRPr="003E4B92" w:rsidTr="00A01625">
        <w:trPr>
          <w:trHeight w:val="255"/>
        </w:trPr>
        <w:tc>
          <w:tcPr>
            <w:tcW w:w="3275"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700"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666"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701"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c>
          <w:tcPr>
            <w:tcW w:w="1886" w:type="dxa"/>
            <w:tcBorders>
              <w:top w:val="nil"/>
              <w:left w:val="nil"/>
              <w:bottom w:val="nil"/>
              <w:right w:val="nil"/>
            </w:tcBorders>
            <w:shd w:val="clear" w:color="auto" w:fill="auto"/>
            <w:noWrap/>
            <w:vAlign w:val="center"/>
            <w:hideMark/>
          </w:tcPr>
          <w:p w:rsidR="00E0096A" w:rsidRPr="003E4B92" w:rsidRDefault="00E0096A" w:rsidP="00A01625">
            <w:pPr>
              <w:spacing w:after="0" w:line="240" w:lineRule="auto"/>
              <w:rPr>
                <w:rFonts w:cs="Times New Roman"/>
                <w:color w:val="000000"/>
              </w:rPr>
            </w:pPr>
          </w:p>
        </w:tc>
      </w:tr>
    </w:tbl>
    <w:p w:rsidR="00E0096A" w:rsidRDefault="00E0096A" w:rsidP="00E0096A">
      <w:pPr>
        <w:spacing w:after="120" w:line="240" w:lineRule="auto"/>
        <w:jc w:val="both"/>
        <w:rPr>
          <w:b/>
          <w:smallCaps/>
        </w:rPr>
      </w:pPr>
      <w:r>
        <w:rPr>
          <w:sz w:val="26"/>
          <w:szCs w:val="26"/>
        </w:rPr>
        <w:t xml:space="preserve">Obci v průběhu roku přibyly peníze o 4 966 tis. Kč, ačkoliv celkové plnění rozpočtu bylo schodkové (schodek 3 521 tis. Kč). To je způsobeno přijetím dlouhodobého úvěru na základní běžný účet, který z hlediska systému rozpočtu není součástí příjmů.   </w:t>
      </w:r>
    </w:p>
    <w:p w:rsidR="00E0096A" w:rsidRPr="00693067" w:rsidRDefault="00E0096A" w:rsidP="00E0096A">
      <w:pPr>
        <w:spacing w:after="120" w:line="240" w:lineRule="auto"/>
        <w:rPr>
          <w:rFonts w:cs="Times New Roman"/>
          <w:sz w:val="26"/>
          <w:szCs w:val="26"/>
        </w:rPr>
      </w:pPr>
      <w:r>
        <w:rPr>
          <w:rFonts w:cs="Times New Roman"/>
          <w:sz w:val="26"/>
          <w:szCs w:val="26"/>
        </w:rPr>
        <w:t>Obec C</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E0096A" w:rsidRPr="003E4B92" w:rsidTr="00A01625">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Pr>
                <w:rFonts w:cs="Times New Roman"/>
                <w:b/>
                <w:bCs/>
              </w:rPr>
              <w:t>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rsidR="00E0096A" w:rsidRPr="003E4B92" w:rsidRDefault="00E0096A" w:rsidP="00A01625">
            <w:pPr>
              <w:spacing w:after="0" w:line="240" w:lineRule="auto"/>
              <w:jc w:val="center"/>
              <w:rPr>
                <w:rFonts w:cs="Times New Roman"/>
                <w:b/>
                <w:bCs/>
              </w:rPr>
            </w:pPr>
            <w:r w:rsidRPr="003E4B92">
              <w:rPr>
                <w:rFonts w:cs="Times New Roman"/>
                <w:b/>
                <w:bCs/>
              </w:rPr>
              <w:t xml:space="preserve">Plnění </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811E06" w:rsidRDefault="00E0096A" w:rsidP="00A01625">
            <w:pPr>
              <w:spacing w:after="0" w:line="240" w:lineRule="auto"/>
              <w:rPr>
                <w:rFonts w:cs="Times New Roman"/>
                <w:b/>
              </w:rPr>
            </w:pPr>
            <w:r w:rsidRPr="00811E06">
              <w:rPr>
                <w:rFonts w:cs="Times New Roman"/>
                <w:b/>
              </w:rPr>
              <w:t>Financování</w:t>
            </w:r>
            <w:r>
              <w:rPr>
                <w:rFonts w:cs="Times New Roman"/>
                <w:b/>
              </w:rPr>
              <w:t xml:space="preserve"> celkem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8000</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4 335 800,00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4 335 800,00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-1 573 997,77</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Změna stavu…</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8115</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5 035 800,00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5 035 800,00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-873 989,77</w:t>
            </w:r>
          </w:p>
        </w:tc>
      </w:tr>
      <w:tr w:rsidR="00E0096A" w:rsidRPr="003E4B92" w:rsidTr="00A01625">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 xml:space="preserve">Uhrazené splátky </w:t>
            </w:r>
            <w:proofErr w:type="spellStart"/>
            <w:r w:rsidRPr="003E4B92">
              <w:rPr>
                <w:rFonts w:cs="Times New Roman"/>
              </w:rPr>
              <w:t>dlouhodob</w:t>
            </w:r>
            <w:proofErr w:type="spellEnd"/>
            <w:r>
              <w:rPr>
                <w:rFonts w:cs="Times New Roman"/>
              </w:rPr>
              <w:t xml:space="preserve"> …</w:t>
            </w:r>
          </w:p>
        </w:tc>
        <w:tc>
          <w:tcPr>
            <w:tcW w:w="700"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rPr>
                <w:rFonts w:cs="Times New Roman"/>
              </w:rPr>
            </w:pPr>
            <w:r w:rsidRPr="003E4B92">
              <w:rPr>
                <w:rFonts w:cs="Times New Roman"/>
              </w:rPr>
              <w:t>8124</w:t>
            </w:r>
          </w:p>
        </w:tc>
        <w:tc>
          <w:tcPr>
            <w:tcW w:w="166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-700 000,00</w:t>
            </w:r>
          </w:p>
        </w:tc>
        <w:tc>
          <w:tcPr>
            <w:tcW w:w="1701"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-700 000,00</w:t>
            </w:r>
          </w:p>
        </w:tc>
        <w:tc>
          <w:tcPr>
            <w:tcW w:w="1886" w:type="dxa"/>
            <w:tcBorders>
              <w:top w:val="nil"/>
              <w:left w:val="nil"/>
              <w:bottom w:val="single" w:sz="4" w:space="0" w:color="333333"/>
              <w:right w:val="single" w:sz="4" w:space="0" w:color="333333"/>
            </w:tcBorders>
            <w:shd w:val="clear" w:color="auto" w:fill="auto"/>
            <w:noWrap/>
            <w:vAlign w:val="center"/>
            <w:hideMark/>
          </w:tcPr>
          <w:p w:rsidR="00E0096A" w:rsidRPr="003E4B92" w:rsidRDefault="00E0096A" w:rsidP="00A01625">
            <w:pPr>
              <w:spacing w:after="0" w:line="240" w:lineRule="auto"/>
              <w:jc w:val="right"/>
              <w:rPr>
                <w:rFonts w:cs="Times New Roman"/>
              </w:rPr>
            </w:pPr>
            <w:r w:rsidRPr="003E4B92">
              <w:rPr>
                <w:rFonts w:cs="Times New Roman"/>
              </w:rPr>
              <w:t>-700 008,00</w:t>
            </w:r>
          </w:p>
        </w:tc>
      </w:tr>
    </w:tbl>
    <w:p w:rsidR="00E0096A" w:rsidRDefault="00E0096A" w:rsidP="00E0096A">
      <w:pPr>
        <w:spacing w:before="160" w:after="120" w:line="240" w:lineRule="auto"/>
        <w:jc w:val="both"/>
        <w:rPr>
          <w:b/>
          <w:smallCaps/>
        </w:rPr>
      </w:pPr>
      <w:r w:rsidRPr="00F50CFB">
        <w:rPr>
          <w:sz w:val="26"/>
          <w:szCs w:val="26"/>
        </w:rPr>
        <w:t>Obci v průběhu roku přibyly peníze o 874 tis. Kč, celkové plnění rozpočtu bylo přebytkové s přebytkem 1 574 tis. Kč. Část přebytku ve výši 700 tis. Kč byla použita na splátku úvěru čerpaného v </w:t>
      </w:r>
      <w:r>
        <w:rPr>
          <w:sz w:val="26"/>
          <w:szCs w:val="26"/>
        </w:rPr>
        <w:t>minulých</w:t>
      </w:r>
      <w:r w:rsidRPr="00F50CFB">
        <w:rPr>
          <w:sz w:val="26"/>
          <w:szCs w:val="26"/>
        </w:rPr>
        <w:t xml:space="preserve"> letech. </w:t>
      </w:r>
    </w:p>
    <w:p w:rsidR="00E0096A" w:rsidRPr="006F6DDE" w:rsidRDefault="00E0096A" w:rsidP="00E0096A">
      <w:pPr>
        <w:spacing w:before="240" w:line="240" w:lineRule="auto"/>
        <w:rPr>
          <w:b/>
          <w:smallCaps/>
          <w:sz w:val="26"/>
          <w:szCs w:val="26"/>
        </w:rPr>
      </w:pPr>
      <w:r w:rsidRPr="006F6DDE">
        <w:rPr>
          <w:b/>
          <w:smallCaps/>
          <w:sz w:val="26"/>
          <w:szCs w:val="26"/>
        </w:rPr>
        <w:t>Povinné rozpočtování pol. 8115</w:t>
      </w:r>
    </w:p>
    <w:p w:rsidR="00E0096A" w:rsidRDefault="00E0096A" w:rsidP="00E0096A">
      <w:pPr>
        <w:spacing w:after="120" w:line="240" w:lineRule="auto"/>
        <w:jc w:val="both"/>
        <w:rPr>
          <w:sz w:val="26"/>
          <w:szCs w:val="26"/>
        </w:rPr>
      </w:pPr>
      <w:r w:rsidRPr="007D02CE">
        <w:rPr>
          <w:b/>
          <w:sz w:val="26"/>
          <w:szCs w:val="26"/>
        </w:rPr>
        <w:t>Položka 8115 se povinně rozpočtuje, pokud je kladná</w:t>
      </w:r>
      <w:r>
        <w:rPr>
          <w:sz w:val="26"/>
          <w:szCs w:val="26"/>
        </w:rPr>
        <w:t>, tj. v situacích, kdy je prostřednictvím položky vyjadřován plánovaný pokles finančních prostředků na účtech.</w:t>
      </w:r>
    </w:p>
    <w:p w:rsidR="00E0096A" w:rsidRDefault="00E0096A" w:rsidP="00E0096A">
      <w:pPr>
        <w:spacing w:after="120" w:line="240" w:lineRule="auto"/>
        <w:jc w:val="both"/>
        <w:rPr>
          <w:sz w:val="26"/>
          <w:szCs w:val="26"/>
        </w:rPr>
      </w:pPr>
      <w:r>
        <w:rPr>
          <w:sz w:val="26"/>
          <w:szCs w:val="26"/>
        </w:rPr>
        <w:t xml:space="preserve">Rozpočet je plán příjmů a výdajů na jeden rok, resp. do 31. 12. roku, na který je sestaven. Pokud příjmy běžného roku nestačí k pokrytí výdajů, je třeba do rozpočtu zapojit další zdroje; jedním ze zdrojů krytí jsou vlastní prostředky na účtech obce k 31. 12. předchozího roku. </w:t>
      </w:r>
    </w:p>
    <w:p w:rsidR="00E0096A" w:rsidRPr="00AB33EC" w:rsidRDefault="00E0096A" w:rsidP="00E0096A">
      <w:pPr>
        <w:spacing w:after="120" w:line="240" w:lineRule="auto"/>
        <w:jc w:val="both"/>
        <w:rPr>
          <w:b/>
          <w:bCs/>
          <w:color w:val="000000"/>
        </w:rPr>
      </w:pPr>
      <w:r w:rsidRPr="00AB33EC">
        <w:rPr>
          <w:b/>
          <w:i/>
          <w:sz w:val="26"/>
          <w:szCs w:val="26"/>
        </w:rPr>
        <w:t>Příklad</w:t>
      </w:r>
      <w:r w:rsidRPr="00AB33EC">
        <w:rPr>
          <w:b/>
          <w:bCs/>
          <w:color w:val="000000"/>
        </w:rPr>
        <w:t xml:space="preserve">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center"/>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40 000 000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43 000 000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- 3 000 000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5B3E39" w:rsidRDefault="00E0096A" w:rsidP="00A01625">
            <w:pPr>
              <w:spacing w:after="0" w:line="240" w:lineRule="auto"/>
              <w:jc w:val="right"/>
              <w:rPr>
                <w:color w:val="000000"/>
              </w:rPr>
            </w:pPr>
            <w:r>
              <w:rPr>
                <w:color w:val="000000"/>
              </w:rPr>
              <w:t>3 000 000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jc w:val="right"/>
              <w:rPr>
                <w:b/>
                <w:i/>
                <w:color w:val="000000"/>
              </w:rPr>
            </w:pPr>
            <w:r>
              <w:rPr>
                <w:b/>
                <w:i/>
                <w:color w:val="000000"/>
              </w:rPr>
              <w:t>3 000 000</w:t>
            </w:r>
          </w:p>
        </w:tc>
      </w:tr>
    </w:tbl>
    <w:p w:rsidR="00E0096A" w:rsidRDefault="00E0096A" w:rsidP="00E0096A">
      <w:pPr>
        <w:spacing w:before="160" w:after="120" w:line="240" w:lineRule="auto"/>
        <w:jc w:val="both"/>
        <w:rPr>
          <w:sz w:val="26"/>
          <w:szCs w:val="26"/>
        </w:rPr>
      </w:pPr>
      <w:r>
        <w:rPr>
          <w:sz w:val="26"/>
          <w:szCs w:val="26"/>
        </w:rPr>
        <w:t xml:space="preserve">V tomto případě byl sestaven schodkový rozpočet (schodek 3 mil. Kč). Financování schodku je určeno vlastními prostředky na účtech obce k 31. 12. předchozího roku. Pro zapojení financování tímto způsobem je podmínkou, aby prostředky byly k 31. 12. (resp. 1. 1.) na účtech k dispozici. Položka 8115 ve výši + 3 mil. Kč vyjadřuje plánovaný pokles peněz během roku o 3 mil. Kč. Pokud např. k 31. 12. předchozího roku bylo na účtech 12 mil. Kč, takto sestavený rozpočet vyjadřuje plánovaný zůstatek peněz na účtech k 31. 12. následujícího roku 9 mil. Kč. </w:t>
      </w:r>
    </w:p>
    <w:p w:rsidR="00E0096A" w:rsidRDefault="00E0096A" w:rsidP="00E0096A">
      <w:pPr>
        <w:spacing w:before="160" w:after="120" w:line="240" w:lineRule="auto"/>
        <w:jc w:val="both"/>
        <w:rPr>
          <w:sz w:val="26"/>
          <w:szCs w:val="26"/>
        </w:rPr>
      </w:pPr>
      <w:r>
        <w:rPr>
          <w:sz w:val="26"/>
          <w:szCs w:val="26"/>
        </w:rPr>
        <w:t xml:space="preserve">Platí, že zůstatek peněz na účtech nejsou příjmem rozpočtu následujícího roku, ale lze je do rozpočtu zapojit prostřednictvím financování (pol. 8115). </w:t>
      </w:r>
    </w:p>
    <w:p w:rsidR="00E0096A" w:rsidRPr="00AB33EC" w:rsidRDefault="00E0096A" w:rsidP="00E0096A">
      <w:pPr>
        <w:spacing w:before="160" w:after="120" w:line="240" w:lineRule="auto"/>
        <w:jc w:val="both"/>
        <w:rPr>
          <w:b/>
          <w:i/>
          <w:sz w:val="26"/>
          <w:szCs w:val="26"/>
        </w:rPr>
      </w:pPr>
      <w:r w:rsidRPr="00AB33EC">
        <w:rPr>
          <w:b/>
          <w:i/>
          <w:sz w:val="26"/>
          <w:szCs w:val="26"/>
        </w:rPr>
        <w:t xml:space="preserve">Příklad </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center"/>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44 000 000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42 000 000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+ 2 000 000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lastRenderedPageBreak/>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5B3E39" w:rsidRDefault="00E0096A" w:rsidP="00A01625">
            <w:pPr>
              <w:spacing w:after="0" w:line="240" w:lineRule="auto"/>
              <w:jc w:val="right"/>
              <w:rPr>
                <w:color w:val="000000"/>
              </w:rPr>
            </w:pPr>
            <w:r>
              <w:rPr>
                <w:color w:val="000000"/>
              </w:rPr>
              <w:t>- 2 000 000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84024F" w:rsidRDefault="00E0096A" w:rsidP="00A01625">
            <w:pPr>
              <w:spacing w:after="0" w:line="240" w:lineRule="auto"/>
              <w:jc w:val="right"/>
              <w:rPr>
                <w:b/>
                <w:i/>
                <w:color w:val="000000"/>
              </w:rPr>
            </w:pPr>
            <w:r>
              <w:rPr>
                <w:b/>
                <w:i/>
                <w:color w:val="000000"/>
              </w:rPr>
              <w:t>-</w:t>
            </w:r>
            <w:r w:rsidRPr="0084024F">
              <w:rPr>
                <w:b/>
                <w:i/>
                <w:color w:val="000000"/>
              </w:rPr>
              <w:t xml:space="preserve"> </w:t>
            </w:r>
            <w:r>
              <w:rPr>
                <w:b/>
                <w:i/>
                <w:color w:val="000000"/>
              </w:rPr>
              <w:t>2</w:t>
            </w:r>
            <w:r w:rsidRPr="0084024F">
              <w:rPr>
                <w:b/>
                <w:i/>
                <w:color w:val="000000"/>
              </w:rPr>
              <w:t xml:space="preserve"> 000 000</w:t>
            </w:r>
          </w:p>
        </w:tc>
      </w:tr>
    </w:tbl>
    <w:p w:rsidR="00E0096A" w:rsidRDefault="00E0096A" w:rsidP="00E0096A">
      <w:pPr>
        <w:spacing w:before="160" w:after="120" w:line="240" w:lineRule="auto"/>
        <w:jc w:val="both"/>
        <w:rPr>
          <w:sz w:val="26"/>
          <w:szCs w:val="26"/>
        </w:rPr>
      </w:pPr>
      <w:r>
        <w:rPr>
          <w:sz w:val="26"/>
          <w:szCs w:val="26"/>
        </w:rPr>
        <w:t>V tomto případě byl sestaven přebytkový rozpočet (přebytek 2 mil. Kč). Rozpočtem se plánuje, že k 31. 12. roku, na který je sestaven, se meziročně zvýší stav prostředků o 2 mil. Kč. Pokud např. k 31. 12. předchozího roku bylo na účtech 12 mil. Kč, takto sestavený rozpočet vyjadřuje plánovaný zůstatek peněz na účtech k 31. 12. následujícího roku 14 mil. Kč.</w:t>
      </w:r>
    </w:p>
    <w:p w:rsidR="00E0096A" w:rsidRDefault="00E0096A" w:rsidP="00E0096A">
      <w:pPr>
        <w:spacing w:before="160" w:after="120" w:line="240" w:lineRule="auto"/>
        <w:jc w:val="both"/>
        <w:rPr>
          <w:sz w:val="26"/>
          <w:szCs w:val="26"/>
        </w:rPr>
      </w:pPr>
      <w:r>
        <w:rPr>
          <w:sz w:val="26"/>
          <w:szCs w:val="26"/>
        </w:rPr>
        <w:t xml:space="preserve">Záporná položka 8115 (zvýšení stavu peněz na účtech) se nemusí povinně rozpočtovat, protože v tomto případě nevyjadřuje zdroj krytí. Její vyjádření v rozpočtu je vhodné (pro úplnost), ale nikoliv povinné. </w:t>
      </w:r>
    </w:p>
    <w:p w:rsidR="00E0096A" w:rsidRPr="00AB33EC" w:rsidRDefault="00E0096A" w:rsidP="00E0096A">
      <w:pPr>
        <w:spacing w:before="160" w:after="120" w:line="240" w:lineRule="auto"/>
        <w:jc w:val="both"/>
        <w:rPr>
          <w:b/>
          <w:i/>
          <w:sz w:val="26"/>
          <w:szCs w:val="26"/>
        </w:rPr>
      </w:pPr>
      <w:r w:rsidRPr="00AB33EC">
        <w:rPr>
          <w:b/>
          <w:i/>
          <w:sz w:val="26"/>
          <w:szCs w:val="26"/>
        </w:rPr>
        <w:t>Příklad</w:t>
      </w:r>
    </w:p>
    <w:tbl>
      <w:tblPr>
        <w:tblW w:w="3141" w:type="dxa"/>
        <w:tblInd w:w="56" w:type="dxa"/>
        <w:tblCellMar>
          <w:left w:w="70" w:type="dxa"/>
          <w:right w:w="70" w:type="dxa"/>
        </w:tblCellMar>
        <w:tblLook w:val="04A0" w:firstRow="1" w:lastRow="0" w:firstColumn="1" w:lastColumn="0" w:noHBand="0" w:noVBand="1"/>
      </w:tblPr>
      <w:tblGrid>
        <w:gridCol w:w="1440"/>
        <w:gridCol w:w="170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0096A" w:rsidRPr="00DA3AC7" w:rsidRDefault="00E0096A" w:rsidP="00A01625">
            <w:pPr>
              <w:spacing w:after="0" w:line="240" w:lineRule="auto"/>
              <w:jc w:val="center"/>
              <w:rPr>
                <w:b/>
                <w:bCs/>
                <w:color w:val="000000"/>
              </w:rPr>
            </w:pPr>
            <w:r>
              <w:rPr>
                <w:b/>
                <w:bCs/>
                <w:color w:val="000000"/>
              </w:rPr>
              <w:t>Kč</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1701"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44 000 000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1701"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42 000 000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jc w:val="right"/>
              <w:rPr>
                <w:color w:val="000000"/>
              </w:rPr>
            </w:pPr>
            <w:r>
              <w:rPr>
                <w:color w:val="000000"/>
              </w:rPr>
              <w:t>+ 2 000 000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1701" w:type="dxa"/>
            <w:tcBorders>
              <w:top w:val="single" w:sz="4" w:space="0" w:color="auto"/>
              <w:left w:val="single" w:sz="4" w:space="0" w:color="auto"/>
              <w:right w:val="single" w:sz="4" w:space="0" w:color="auto"/>
            </w:tcBorders>
            <w:shd w:val="clear" w:color="auto" w:fill="auto"/>
            <w:noWrap/>
            <w:vAlign w:val="bottom"/>
          </w:tcPr>
          <w:p w:rsidR="00E0096A" w:rsidRPr="005B3E39" w:rsidRDefault="00E0096A" w:rsidP="00A01625">
            <w:pPr>
              <w:spacing w:after="0" w:line="240" w:lineRule="auto"/>
              <w:jc w:val="right"/>
              <w:rPr>
                <w:color w:val="000000"/>
              </w:rPr>
            </w:pPr>
            <w:r>
              <w:rPr>
                <w:color w:val="000000"/>
              </w:rPr>
              <w:t>- 2 000 000</w:t>
            </w:r>
          </w:p>
        </w:tc>
      </w:tr>
      <w:tr w:rsidR="00E0096A" w:rsidRPr="00DA3AC7" w:rsidTr="00A01625">
        <w:trPr>
          <w:trHeight w:val="270"/>
        </w:trPr>
        <w:tc>
          <w:tcPr>
            <w:tcW w:w="1440" w:type="dxa"/>
            <w:tcBorders>
              <w:left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1701" w:type="dxa"/>
            <w:tcBorders>
              <w:left w:val="single" w:sz="4" w:space="0" w:color="auto"/>
              <w:right w:val="single" w:sz="4" w:space="0" w:color="auto"/>
            </w:tcBorders>
            <w:shd w:val="clear" w:color="auto" w:fill="auto"/>
            <w:noWrap/>
            <w:vAlign w:val="bottom"/>
          </w:tcPr>
          <w:p w:rsidR="00E0096A" w:rsidRPr="0084024F" w:rsidRDefault="00E0096A" w:rsidP="00A01625">
            <w:pPr>
              <w:spacing w:after="0" w:line="240" w:lineRule="auto"/>
              <w:jc w:val="right"/>
              <w:rPr>
                <w:b/>
                <w:i/>
                <w:color w:val="000000"/>
              </w:rPr>
            </w:pPr>
            <w:r>
              <w:rPr>
                <w:b/>
                <w:i/>
                <w:color w:val="000000"/>
              </w:rPr>
              <w:t>+ 1</w:t>
            </w:r>
            <w:r w:rsidRPr="0084024F">
              <w:rPr>
                <w:b/>
                <w:i/>
                <w:color w:val="000000"/>
              </w:rPr>
              <w:t xml:space="preserve">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Pr>
                <w:b/>
                <w:i/>
                <w:color w:val="000000"/>
              </w:rPr>
              <w:t>Pol. 8124</w:t>
            </w:r>
          </w:p>
        </w:tc>
        <w:tc>
          <w:tcPr>
            <w:tcW w:w="1701" w:type="dxa"/>
            <w:tcBorders>
              <w:left w:val="single" w:sz="4" w:space="0" w:color="auto"/>
              <w:bottom w:val="single" w:sz="4" w:space="0" w:color="auto"/>
              <w:right w:val="single" w:sz="4" w:space="0" w:color="auto"/>
            </w:tcBorders>
            <w:shd w:val="clear" w:color="auto" w:fill="auto"/>
            <w:noWrap/>
            <w:vAlign w:val="bottom"/>
          </w:tcPr>
          <w:p w:rsidR="00E0096A" w:rsidRPr="0084024F" w:rsidRDefault="00E0096A" w:rsidP="00A01625">
            <w:pPr>
              <w:spacing w:after="0" w:line="240" w:lineRule="auto"/>
              <w:jc w:val="right"/>
              <w:rPr>
                <w:b/>
                <w:i/>
                <w:color w:val="000000"/>
              </w:rPr>
            </w:pPr>
            <w:r w:rsidRPr="0084024F">
              <w:rPr>
                <w:b/>
                <w:i/>
                <w:color w:val="000000"/>
              </w:rPr>
              <w:t xml:space="preserve">- </w:t>
            </w:r>
            <w:r>
              <w:rPr>
                <w:b/>
                <w:i/>
                <w:color w:val="000000"/>
              </w:rPr>
              <w:t>3</w:t>
            </w:r>
            <w:r w:rsidRPr="0084024F">
              <w:rPr>
                <w:b/>
                <w:i/>
                <w:color w:val="000000"/>
              </w:rPr>
              <w:t xml:space="preserve"> 000 000</w:t>
            </w:r>
          </w:p>
        </w:tc>
      </w:tr>
    </w:tbl>
    <w:p w:rsidR="00E0096A" w:rsidRDefault="00E0096A" w:rsidP="00E0096A">
      <w:pPr>
        <w:spacing w:before="160" w:after="120" w:line="240" w:lineRule="auto"/>
        <w:jc w:val="both"/>
        <w:rPr>
          <w:sz w:val="26"/>
          <w:szCs w:val="26"/>
        </w:rPr>
      </w:pPr>
      <w:r>
        <w:rPr>
          <w:sz w:val="26"/>
          <w:szCs w:val="26"/>
        </w:rPr>
        <w:t xml:space="preserve">V tomto případě byl sestaven přebytkový rozpočet s přebytkem ve výši 2 mil. Kč (stejně jako v předchozím příkladu), ale struktura financování je jiná. Tímto rozpočtem se neplánuje zvýšení stavu prostředků na účtech obce o 2 mil. Kč, ale naopak jejich pokles o 1 mil. Kč (byť je rozpočet přebytkový). Je to způsobenou plánovanou splátkou úvěru ve výši 3 mil. Kč. Položka 8115 je kladná, proto je její rozpočtování povinné. </w:t>
      </w:r>
    </w:p>
    <w:p w:rsidR="00E0096A" w:rsidRPr="00A679B9" w:rsidRDefault="00E0096A" w:rsidP="00E0096A">
      <w:pPr>
        <w:spacing w:before="240" w:line="240" w:lineRule="auto"/>
        <w:jc w:val="both"/>
        <w:rPr>
          <w:b/>
          <w:smallCaps/>
          <w:sz w:val="26"/>
          <w:szCs w:val="26"/>
        </w:rPr>
      </w:pPr>
      <w:r>
        <w:rPr>
          <w:b/>
          <w:smallCaps/>
          <w:sz w:val="26"/>
          <w:szCs w:val="26"/>
        </w:rPr>
        <w:t>Maximální výše rozpočtované kladné pol. 8115</w:t>
      </w:r>
      <w:r w:rsidRPr="00A679B9">
        <w:rPr>
          <w:b/>
          <w:smallCaps/>
          <w:sz w:val="26"/>
          <w:szCs w:val="26"/>
        </w:rPr>
        <w:t xml:space="preserve"> </w:t>
      </w:r>
    </w:p>
    <w:p w:rsidR="00E0096A" w:rsidRPr="00964F2A" w:rsidRDefault="00E0096A" w:rsidP="00E0096A">
      <w:pPr>
        <w:spacing w:before="160" w:after="120" w:line="240" w:lineRule="auto"/>
        <w:ind w:left="284" w:hanging="284"/>
        <w:jc w:val="both"/>
        <w:rPr>
          <w:sz w:val="26"/>
          <w:szCs w:val="26"/>
        </w:rPr>
      </w:pPr>
      <w:r w:rsidRPr="00964F2A">
        <w:rPr>
          <w:sz w:val="26"/>
          <w:szCs w:val="26"/>
        </w:rPr>
        <w:t>Kladnou pol. 8115 lze do rozpočtu zapojit maximálně ve výši zůstatku:</w:t>
      </w:r>
    </w:p>
    <w:p w:rsidR="00E0096A" w:rsidRPr="00964F2A" w:rsidRDefault="00E0096A" w:rsidP="00AB33EC">
      <w:pPr>
        <w:pStyle w:val="Odstavecseseznamem"/>
        <w:numPr>
          <w:ilvl w:val="0"/>
          <w:numId w:val="2"/>
        </w:numPr>
        <w:spacing w:before="120" w:after="60" w:line="240" w:lineRule="auto"/>
        <w:ind w:left="284" w:hanging="284"/>
        <w:contextualSpacing w:val="0"/>
        <w:jc w:val="both"/>
        <w:rPr>
          <w:sz w:val="26"/>
          <w:szCs w:val="26"/>
        </w:rPr>
      </w:pPr>
      <w:r w:rsidRPr="00964F2A">
        <w:rPr>
          <w:sz w:val="26"/>
          <w:szCs w:val="26"/>
        </w:rPr>
        <w:t>finančních prostředků na základních běžných účtech (účty 231) k 31. 12. předchozího roku</w:t>
      </w:r>
    </w:p>
    <w:p w:rsidR="00E0096A" w:rsidRPr="00964F2A" w:rsidRDefault="00E0096A" w:rsidP="00AB33EC">
      <w:pPr>
        <w:pStyle w:val="Odstavecseseznamem"/>
        <w:numPr>
          <w:ilvl w:val="0"/>
          <w:numId w:val="2"/>
        </w:numPr>
        <w:spacing w:after="60" w:line="240" w:lineRule="auto"/>
        <w:ind w:left="284" w:hanging="284"/>
        <w:contextualSpacing w:val="0"/>
        <w:jc w:val="both"/>
        <w:rPr>
          <w:sz w:val="26"/>
          <w:szCs w:val="26"/>
        </w:rPr>
      </w:pPr>
      <w:r w:rsidRPr="00964F2A">
        <w:rPr>
          <w:sz w:val="26"/>
          <w:szCs w:val="26"/>
        </w:rPr>
        <w:t>finančních prostředků na účtech peněžních fondů (účty 236) k 31. 12. předchozího roku</w:t>
      </w:r>
    </w:p>
    <w:p w:rsidR="00E0096A" w:rsidRPr="00177D2E" w:rsidRDefault="00E0096A" w:rsidP="00AB33EC">
      <w:pPr>
        <w:pStyle w:val="Odstavecseseznamem"/>
        <w:numPr>
          <w:ilvl w:val="0"/>
          <w:numId w:val="2"/>
        </w:numPr>
        <w:spacing w:after="120" w:line="240" w:lineRule="auto"/>
        <w:ind w:left="284" w:hanging="284"/>
        <w:contextualSpacing w:val="0"/>
        <w:jc w:val="both"/>
        <w:rPr>
          <w:sz w:val="26"/>
          <w:szCs w:val="26"/>
        </w:rPr>
      </w:pPr>
      <w:r w:rsidRPr="00964F2A">
        <w:rPr>
          <w:sz w:val="26"/>
          <w:szCs w:val="26"/>
        </w:rPr>
        <w:t xml:space="preserve">finančních prostředků v pokladně (účet 261), pokud obec účtuje pokladnu v režimu tzv. oddělených pokladen </w:t>
      </w:r>
    </w:p>
    <w:p w:rsidR="00E0096A" w:rsidRDefault="00E0096A" w:rsidP="00E0096A">
      <w:pPr>
        <w:spacing w:line="240" w:lineRule="auto"/>
        <w:jc w:val="both"/>
        <w:rPr>
          <w:sz w:val="26"/>
          <w:szCs w:val="26"/>
        </w:rPr>
      </w:pPr>
      <w:r w:rsidRPr="00177D2E">
        <w:rPr>
          <w:sz w:val="26"/>
          <w:szCs w:val="26"/>
        </w:rPr>
        <w:t>V případě zapojení kladné položky 8115 ze zůstatku účtů peněžních fondů (účty 236) je třeba pozor na účelovost těchto prostředků, která je dána pravidly (statutem) fondu (do rozpočtu lze zapojit zůstatek fondu jen ke krytí výdajů, ke kterým je fond účelově určen, nikoliv ke krytí jiných výdajů rozpočtu).</w:t>
      </w:r>
    </w:p>
    <w:p w:rsidR="00E0096A" w:rsidRDefault="00E0096A" w:rsidP="00E0096A">
      <w:pPr>
        <w:spacing w:line="240" w:lineRule="auto"/>
        <w:jc w:val="both"/>
        <w:rPr>
          <w:i/>
          <w:sz w:val="26"/>
          <w:szCs w:val="26"/>
        </w:rPr>
      </w:pPr>
      <w:r w:rsidRPr="009E0010">
        <w:rPr>
          <w:i/>
          <w:sz w:val="26"/>
          <w:szCs w:val="26"/>
        </w:rPr>
        <w:t xml:space="preserve">Příklad </w:t>
      </w:r>
    </w:p>
    <w:p w:rsidR="00E0096A" w:rsidRPr="009E0010" w:rsidRDefault="00E0096A" w:rsidP="00E0096A">
      <w:pPr>
        <w:spacing w:line="240" w:lineRule="auto"/>
        <w:jc w:val="both"/>
        <w:rPr>
          <w:i/>
          <w:sz w:val="26"/>
          <w:szCs w:val="26"/>
        </w:rPr>
      </w:pPr>
      <w:r w:rsidRPr="009E0010">
        <w:rPr>
          <w:i/>
          <w:sz w:val="26"/>
          <w:szCs w:val="26"/>
        </w:rPr>
        <w:t>Obec vykazuje v</w:t>
      </w:r>
      <w:r>
        <w:rPr>
          <w:i/>
          <w:sz w:val="26"/>
          <w:szCs w:val="26"/>
        </w:rPr>
        <w:t> roce 2019</w:t>
      </w:r>
      <w:r w:rsidRPr="009E0010">
        <w:rPr>
          <w:i/>
          <w:sz w:val="26"/>
          <w:szCs w:val="26"/>
        </w:rPr>
        <w:t xml:space="preserve"> následující konečné zůstatky. Může pro rok 20</w:t>
      </w:r>
      <w:r>
        <w:rPr>
          <w:i/>
          <w:sz w:val="26"/>
          <w:szCs w:val="26"/>
        </w:rPr>
        <w:t>20</w:t>
      </w:r>
      <w:r w:rsidRPr="009E0010">
        <w:rPr>
          <w:i/>
          <w:sz w:val="26"/>
          <w:szCs w:val="26"/>
        </w:rPr>
        <w:t xml:space="preserve"> sestavit schodkový rozpočet se schodkem </w:t>
      </w:r>
      <w:r>
        <w:rPr>
          <w:i/>
          <w:sz w:val="26"/>
          <w:szCs w:val="26"/>
        </w:rPr>
        <w:t xml:space="preserve">ve výši </w:t>
      </w:r>
      <w:r w:rsidRPr="009E0010">
        <w:rPr>
          <w:i/>
          <w:sz w:val="26"/>
          <w:szCs w:val="26"/>
        </w:rPr>
        <w:t xml:space="preserve">2 200 000 Kč a tento schodek krýt vlastními prostředky? </w:t>
      </w:r>
    </w:p>
    <w:tbl>
      <w:tblPr>
        <w:tblW w:w="5469"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4A0" w:firstRow="1" w:lastRow="0" w:firstColumn="1" w:lastColumn="0" w:noHBand="0" w:noVBand="1"/>
      </w:tblPr>
      <w:tblGrid>
        <w:gridCol w:w="546"/>
        <w:gridCol w:w="666"/>
        <w:gridCol w:w="2556"/>
        <w:gridCol w:w="1701"/>
      </w:tblGrid>
      <w:tr w:rsidR="00E0096A" w:rsidRPr="009E0010" w:rsidTr="00A01625">
        <w:trPr>
          <w:trHeight w:val="340"/>
        </w:trPr>
        <w:tc>
          <w:tcPr>
            <w:tcW w:w="546" w:type="dxa"/>
            <w:shd w:val="clear" w:color="000000" w:fill="D8D8D8"/>
            <w:noWrap/>
            <w:vAlign w:val="center"/>
            <w:hideMark/>
          </w:tcPr>
          <w:p w:rsidR="00E0096A" w:rsidRPr="009E0010" w:rsidRDefault="00E0096A" w:rsidP="00A01625">
            <w:pPr>
              <w:contextualSpacing/>
              <w:jc w:val="center"/>
              <w:rPr>
                <w:b/>
                <w:bCs/>
                <w:szCs w:val="24"/>
              </w:rPr>
            </w:pPr>
            <w:r w:rsidRPr="009E0010">
              <w:rPr>
                <w:b/>
                <w:bCs/>
                <w:szCs w:val="24"/>
              </w:rPr>
              <w:lastRenderedPageBreak/>
              <w:t>SU</w:t>
            </w:r>
          </w:p>
        </w:tc>
        <w:tc>
          <w:tcPr>
            <w:tcW w:w="666" w:type="dxa"/>
            <w:shd w:val="clear" w:color="000000" w:fill="D8D8D8"/>
            <w:noWrap/>
            <w:vAlign w:val="center"/>
            <w:hideMark/>
          </w:tcPr>
          <w:p w:rsidR="00E0096A" w:rsidRPr="009E0010" w:rsidRDefault="00E0096A" w:rsidP="00A01625">
            <w:pPr>
              <w:contextualSpacing/>
              <w:jc w:val="center"/>
              <w:rPr>
                <w:b/>
                <w:bCs/>
                <w:color w:val="000000"/>
                <w:szCs w:val="24"/>
              </w:rPr>
            </w:pPr>
            <w:r w:rsidRPr="009E0010">
              <w:rPr>
                <w:b/>
                <w:bCs/>
                <w:color w:val="000000"/>
                <w:szCs w:val="24"/>
              </w:rPr>
              <w:t>AU</w:t>
            </w:r>
          </w:p>
        </w:tc>
        <w:tc>
          <w:tcPr>
            <w:tcW w:w="2556" w:type="dxa"/>
            <w:shd w:val="clear" w:color="000000" w:fill="D8D8D8"/>
            <w:noWrap/>
            <w:vAlign w:val="center"/>
            <w:hideMark/>
          </w:tcPr>
          <w:p w:rsidR="00E0096A" w:rsidRPr="009E0010" w:rsidRDefault="00E0096A" w:rsidP="00A01625">
            <w:pPr>
              <w:contextualSpacing/>
              <w:jc w:val="center"/>
              <w:rPr>
                <w:b/>
                <w:bCs/>
                <w:color w:val="000000"/>
                <w:szCs w:val="24"/>
              </w:rPr>
            </w:pPr>
            <w:r w:rsidRPr="009E0010">
              <w:rPr>
                <w:b/>
                <w:bCs/>
                <w:color w:val="000000"/>
                <w:szCs w:val="24"/>
              </w:rPr>
              <w:t>Text</w:t>
            </w:r>
          </w:p>
        </w:tc>
        <w:tc>
          <w:tcPr>
            <w:tcW w:w="1701" w:type="dxa"/>
            <w:shd w:val="clear" w:color="000000" w:fill="D8D8D8"/>
            <w:noWrap/>
            <w:vAlign w:val="center"/>
            <w:hideMark/>
          </w:tcPr>
          <w:p w:rsidR="00E0096A" w:rsidRPr="009E0010" w:rsidRDefault="00E0096A" w:rsidP="00A01625">
            <w:pPr>
              <w:contextualSpacing/>
              <w:jc w:val="center"/>
              <w:rPr>
                <w:b/>
                <w:bCs/>
                <w:color w:val="000000"/>
                <w:szCs w:val="24"/>
              </w:rPr>
            </w:pPr>
            <w:r w:rsidRPr="009E0010">
              <w:rPr>
                <w:b/>
                <w:bCs/>
                <w:color w:val="000000"/>
                <w:szCs w:val="24"/>
              </w:rPr>
              <w:t>KZ 2016</w:t>
            </w:r>
          </w:p>
        </w:tc>
      </w:tr>
      <w:tr w:rsidR="00E0096A" w:rsidRPr="009E0010" w:rsidTr="00A01625">
        <w:trPr>
          <w:trHeight w:val="340"/>
        </w:trPr>
        <w:tc>
          <w:tcPr>
            <w:tcW w:w="54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231</w:t>
            </w:r>
          </w:p>
        </w:tc>
        <w:tc>
          <w:tcPr>
            <w:tcW w:w="66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xxxx</w:t>
            </w:r>
          </w:p>
        </w:tc>
        <w:tc>
          <w:tcPr>
            <w:tcW w:w="2556" w:type="dxa"/>
            <w:shd w:val="clear" w:color="auto" w:fill="auto"/>
            <w:noWrap/>
            <w:vAlign w:val="center"/>
            <w:hideMark/>
          </w:tcPr>
          <w:p w:rsidR="00E0096A" w:rsidRPr="009E0010" w:rsidRDefault="00E0096A" w:rsidP="00A01625">
            <w:pPr>
              <w:contextualSpacing/>
              <w:rPr>
                <w:color w:val="000000"/>
                <w:szCs w:val="24"/>
              </w:rPr>
            </w:pPr>
            <w:r>
              <w:rPr>
                <w:color w:val="000000"/>
                <w:szCs w:val="24"/>
              </w:rPr>
              <w:t>Základní běžné účty</w:t>
            </w:r>
          </w:p>
        </w:tc>
        <w:tc>
          <w:tcPr>
            <w:tcW w:w="1701"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2 000 000</w:t>
            </w:r>
          </w:p>
        </w:tc>
      </w:tr>
      <w:tr w:rsidR="00E0096A" w:rsidRPr="009E0010" w:rsidTr="00A01625">
        <w:trPr>
          <w:trHeight w:val="340"/>
        </w:trPr>
        <w:tc>
          <w:tcPr>
            <w:tcW w:w="54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236</w:t>
            </w:r>
          </w:p>
        </w:tc>
        <w:tc>
          <w:tcPr>
            <w:tcW w:w="66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xxxx</w:t>
            </w:r>
          </w:p>
        </w:tc>
        <w:tc>
          <w:tcPr>
            <w:tcW w:w="2556" w:type="dxa"/>
            <w:shd w:val="clear" w:color="auto" w:fill="auto"/>
            <w:noWrap/>
            <w:vAlign w:val="center"/>
            <w:hideMark/>
          </w:tcPr>
          <w:p w:rsidR="00E0096A" w:rsidRPr="009E0010" w:rsidRDefault="00E0096A" w:rsidP="00A01625">
            <w:pPr>
              <w:contextualSpacing/>
              <w:rPr>
                <w:color w:val="000000"/>
                <w:szCs w:val="24"/>
              </w:rPr>
            </w:pPr>
            <w:r>
              <w:rPr>
                <w:color w:val="000000"/>
                <w:szCs w:val="24"/>
              </w:rPr>
              <w:t>Účty peněžních fondů</w:t>
            </w:r>
          </w:p>
        </w:tc>
        <w:tc>
          <w:tcPr>
            <w:tcW w:w="1701"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400 000</w:t>
            </w:r>
          </w:p>
        </w:tc>
      </w:tr>
      <w:tr w:rsidR="00E0096A" w:rsidRPr="009E0010" w:rsidTr="00A01625">
        <w:trPr>
          <w:trHeight w:val="340"/>
        </w:trPr>
        <w:tc>
          <w:tcPr>
            <w:tcW w:w="54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261</w:t>
            </w:r>
          </w:p>
        </w:tc>
        <w:tc>
          <w:tcPr>
            <w:tcW w:w="666"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xxxx</w:t>
            </w:r>
          </w:p>
        </w:tc>
        <w:tc>
          <w:tcPr>
            <w:tcW w:w="2556" w:type="dxa"/>
            <w:shd w:val="clear" w:color="auto" w:fill="auto"/>
            <w:noWrap/>
            <w:vAlign w:val="center"/>
            <w:hideMark/>
          </w:tcPr>
          <w:p w:rsidR="00E0096A" w:rsidRPr="009E0010" w:rsidRDefault="00E0096A" w:rsidP="00A01625">
            <w:pPr>
              <w:contextualSpacing/>
              <w:rPr>
                <w:color w:val="000000"/>
                <w:szCs w:val="24"/>
              </w:rPr>
            </w:pPr>
            <w:r w:rsidRPr="009E0010">
              <w:rPr>
                <w:color w:val="000000"/>
                <w:szCs w:val="24"/>
              </w:rPr>
              <w:t>Pokladna</w:t>
            </w:r>
            <w:r>
              <w:rPr>
                <w:color w:val="000000"/>
                <w:szCs w:val="24"/>
              </w:rPr>
              <w:t xml:space="preserve"> (oddělená) </w:t>
            </w:r>
          </w:p>
        </w:tc>
        <w:tc>
          <w:tcPr>
            <w:tcW w:w="1701" w:type="dxa"/>
            <w:shd w:val="clear" w:color="auto" w:fill="auto"/>
            <w:noWrap/>
            <w:vAlign w:val="center"/>
            <w:hideMark/>
          </w:tcPr>
          <w:p w:rsidR="00E0096A" w:rsidRPr="009E0010" w:rsidRDefault="00E0096A" w:rsidP="00A01625">
            <w:pPr>
              <w:contextualSpacing/>
              <w:jc w:val="right"/>
              <w:rPr>
                <w:color w:val="000000"/>
                <w:szCs w:val="24"/>
              </w:rPr>
            </w:pPr>
            <w:r w:rsidRPr="009E0010">
              <w:rPr>
                <w:color w:val="000000"/>
                <w:szCs w:val="24"/>
              </w:rPr>
              <w:t>50 000</w:t>
            </w:r>
          </w:p>
        </w:tc>
      </w:tr>
    </w:tbl>
    <w:p w:rsidR="00E0096A" w:rsidRDefault="00E0096A" w:rsidP="00E0096A">
      <w:pPr>
        <w:spacing w:before="160" w:line="240" w:lineRule="auto"/>
        <w:jc w:val="both"/>
        <w:rPr>
          <w:i/>
          <w:sz w:val="26"/>
          <w:szCs w:val="26"/>
        </w:rPr>
      </w:pPr>
      <w:r>
        <w:rPr>
          <w:i/>
          <w:sz w:val="26"/>
          <w:szCs w:val="26"/>
        </w:rPr>
        <w:t xml:space="preserve">Řešení: může, ale jen za předpokladu, že součástí výdajů rozpočtu jsou i výdaje peněžního fondu, které budou kryty zůstatkem účtu peněžního fondu, </w:t>
      </w:r>
      <w:r w:rsidRPr="000A0F68">
        <w:rPr>
          <w:i/>
          <w:sz w:val="26"/>
          <w:szCs w:val="26"/>
        </w:rPr>
        <w:t>jehož použití je účelové v souladu se schváleným statutem fondu</w:t>
      </w:r>
      <w:r>
        <w:rPr>
          <w:i/>
          <w:sz w:val="26"/>
          <w:szCs w:val="26"/>
        </w:rPr>
        <w:t xml:space="preserve"> (minimálně ve výši </w:t>
      </w:r>
      <w:r w:rsidRPr="000A0F68">
        <w:rPr>
          <w:i/>
          <w:sz w:val="26"/>
          <w:szCs w:val="26"/>
        </w:rPr>
        <w:t>150</w:t>
      </w:r>
      <w:r>
        <w:rPr>
          <w:i/>
          <w:sz w:val="26"/>
          <w:szCs w:val="26"/>
        </w:rPr>
        <w:t xml:space="preserve"> tis., maximálně ve výši 400 tis. Kč). </w:t>
      </w:r>
      <w:r w:rsidRPr="000A0F68">
        <w:rPr>
          <w:i/>
          <w:sz w:val="26"/>
          <w:szCs w:val="26"/>
        </w:rPr>
        <w:t xml:space="preserve">Pokud by nebylo splněno, nebylo by možné takový rozpočet schválit.  </w:t>
      </w:r>
    </w:p>
    <w:p w:rsidR="00E0096A" w:rsidRDefault="00E0096A" w:rsidP="00E0096A">
      <w:pPr>
        <w:spacing w:before="160" w:line="240" w:lineRule="auto"/>
        <w:jc w:val="both"/>
        <w:rPr>
          <w:i/>
          <w:sz w:val="26"/>
          <w:szCs w:val="26"/>
        </w:rPr>
      </w:pPr>
      <w:r>
        <w:rPr>
          <w:i/>
          <w:sz w:val="26"/>
          <w:szCs w:val="26"/>
        </w:rPr>
        <w:t xml:space="preserve">Pokud by v rozpočtu nebyl plánovaný pokles prostředků na účtech peněžních fondů (část položky 8115), schválit takový rozpočet by možné nebylo, protože k financování schodku by bylo možné použít pouze prostředky ze ZBÚ (2 mil. Kč) a z oddělené poklady (50 tis.). Zbývajících 150 tis. Kč by nebylo možné krýt zůstatkem fondů, pokud by použití těchto prostředků neodpovídalo pravidlům fondu (jedná se o účelové prostředky). </w:t>
      </w:r>
    </w:p>
    <w:p w:rsidR="00E0096A" w:rsidRDefault="00E0096A" w:rsidP="00E0096A">
      <w:pPr>
        <w:spacing w:before="160" w:line="240" w:lineRule="auto"/>
        <w:jc w:val="both"/>
        <w:rPr>
          <w:sz w:val="26"/>
          <w:szCs w:val="26"/>
        </w:rPr>
      </w:pPr>
      <w:r>
        <w:rPr>
          <w:sz w:val="26"/>
          <w:szCs w:val="26"/>
        </w:rPr>
        <w:t xml:space="preserve">Na maximální možnou výši zapojení vlastních prostředků z minulých let je třeba myslet i při provádění změn rozpočtu v průběhu roku. </w:t>
      </w:r>
    </w:p>
    <w:p w:rsidR="00E0096A" w:rsidRPr="00AB33EC" w:rsidRDefault="00E0096A" w:rsidP="00E0096A">
      <w:pPr>
        <w:spacing w:before="160" w:line="240" w:lineRule="auto"/>
        <w:jc w:val="both"/>
        <w:rPr>
          <w:b/>
          <w:i/>
          <w:sz w:val="26"/>
          <w:szCs w:val="26"/>
        </w:rPr>
      </w:pPr>
      <w:r w:rsidRPr="00AB33EC">
        <w:rPr>
          <w:b/>
          <w:i/>
          <w:sz w:val="26"/>
          <w:szCs w:val="26"/>
        </w:rPr>
        <w:t xml:space="preserve">Příklad </w:t>
      </w:r>
    </w:p>
    <w:tbl>
      <w:tblPr>
        <w:tblW w:w="5862" w:type="dxa"/>
        <w:tblInd w:w="56" w:type="dxa"/>
        <w:tblCellMar>
          <w:left w:w="70" w:type="dxa"/>
          <w:right w:w="70" w:type="dxa"/>
        </w:tblCellMar>
        <w:tblLook w:val="04A0" w:firstRow="1" w:lastRow="0" w:firstColumn="1" w:lastColumn="0" w:noHBand="0" w:noVBand="1"/>
      </w:tblPr>
      <w:tblGrid>
        <w:gridCol w:w="1440"/>
        <w:gridCol w:w="2211"/>
        <w:gridCol w:w="2211"/>
      </w:tblGrid>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0096A" w:rsidRPr="00DA3AC7" w:rsidRDefault="00E0096A" w:rsidP="00A01625">
            <w:pPr>
              <w:spacing w:after="0" w:line="240" w:lineRule="auto"/>
              <w:rPr>
                <w:b/>
                <w:bCs/>
                <w:color w:val="000000"/>
              </w:rPr>
            </w:pPr>
            <w:r w:rsidRPr="00DA3AC7">
              <w:rPr>
                <w:b/>
                <w:bCs/>
                <w:color w:val="000000"/>
              </w:rPr>
              <w:t> </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0096A" w:rsidRPr="00DA3AC7" w:rsidRDefault="00E0096A" w:rsidP="00A01625">
            <w:pPr>
              <w:spacing w:after="0" w:line="240" w:lineRule="auto"/>
              <w:jc w:val="center"/>
              <w:rPr>
                <w:b/>
                <w:bCs/>
                <w:color w:val="000000"/>
              </w:rPr>
            </w:pPr>
            <w:r>
              <w:rPr>
                <w:b/>
                <w:bCs/>
                <w:color w:val="000000"/>
              </w:rPr>
              <w:t>Schválený rozpočet na rok 2019</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096A" w:rsidRDefault="00E0096A" w:rsidP="00A01625">
            <w:pPr>
              <w:spacing w:after="0" w:line="240" w:lineRule="auto"/>
              <w:jc w:val="center"/>
              <w:rPr>
                <w:b/>
                <w:bCs/>
                <w:color w:val="000000"/>
              </w:rPr>
            </w:pPr>
            <w:r>
              <w:rPr>
                <w:b/>
                <w:bCs/>
                <w:color w:val="000000"/>
              </w:rPr>
              <w:t>Upravený rozpočet po 6. RO (k 30. 9.)</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Příjmy </w:t>
            </w:r>
          </w:p>
        </w:tc>
        <w:tc>
          <w:tcPr>
            <w:tcW w:w="2211" w:type="dxa"/>
            <w:tcBorders>
              <w:top w:val="single" w:sz="4" w:space="0" w:color="auto"/>
              <w:left w:val="single" w:sz="4" w:space="0" w:color="auto"/>
              <w:right w:val="single" w:sz="4" w:space="0" w:color="auto"/>
            </w:tcBorders>
            <w:shd w:val="clear" w:color="auto" w:fill="auto"/>
            <w:noWrap/>
            <w:vAlign w:val="center"/>
            <w:hideMark/>
          </w:tcPr>
          <w:p w:rsidR="00E0096A" w:rsidRPr="00DA3AC7" w:rsidRDefault="00E0096A" w:rsidP="00A01625">
            <w:pPr>
              <w:spacing w:after="0" w:line="240" w:lineRule="auto"/>
              <w:jc w:val="right"/>
              <w:rPr>
                <w:color w:val="000000"/>
              </w:rPr>
            </w:pPr>
            <w:r>
              <w:rPr>
                <w:color w:val="000000"/>
              </w:rPr>
              <w:t>44 000 000</w:t>
            </w:r>
          </w:p>
        </w:tc>
        <w:tc>
          <w:tcPr>
            <w:tcW w:w="2211" w:type="dxa"/>
            <w:tcBorders>
              <w:top w:val="single" w:sz="4" w:space="0" w:color="auto"/>
              <w:left w:val="single" w:sz="4" w:space="0" w:color="auto"/>
              <w:right w:val="single" w:sz="4" w:space="0" w:color="auto"/>
            </w:tcBorders>
            <w:vAlign w:val="center"/>
          </w:tcPr>
          <w:p w:rsidR="00E0096A" w:rsidRDefault="00E0096A" w:rsidP="00A01625">
            <w:pPr>
              <w:spacing w:after="0" w:line="240" w:lineRule="auto"/>
              <w:jc w:val="right"/>
              <w:rPr>
                <w:color w:val="000000"/>
              </w:rPr>
            </w:pPr>
            <w:r>
              <w:rPr>
                <w:color w:val="000000"/>
              </w:rPr>
              <w:t>45 000 000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Výdaje </w:t>
            </w:r>
          </w:p>
        </w:tc>
        <w:tc>
          <w:tcPr>
            <w:tcW w:w="2211" w:type="dxa"/>
            <w:tcBorders>
              <w:left w:val="single" w:sz="4" w:space="0" w:color="auto"/>
              <w:bottom w:val="single" w:sz="4" w:space="0" w:color="auto"/>
              <w:right w:val="single" w:sz="4" w:space="0" w:color="auto"/>
            </w:tcBorders>
            <w:shd w:val="clear" w:color="auto" w:fill="auto"/>
            <w:noWrap/>
            <w:vAlign w:val="center"/>
            <w:hideMark/>
          </w:tcPr>
          <w:p w:rsidR="00E0096A" w:rsidRPr="00DA3AC7" w:rsidRDefault="00E0096A" w:rsidP="00A01625">
            <w:pPr>
              <w:spacing w:after="0" w:line="240" w:lineRule="auto"/>
              <w:jc w:val="right"/>
              <w:rPr>
                <w:color w:val="000000"/>
              </w:rPr>
            </w:pPr>
            <w:r>
              <w:rPr>
                <w:color w:val="000000"/>
              </w:rPr>
              <w:t>42 000 000</w:t>
            </w:r>
          </w:p>
        </w:tc>
        <w:tc>
          <w:tcPr>
            <w:tcW w:w="2211" w:type="dxa"/>
            <w:tcBorders>
              <w:left w:val="single" w:sz="4" w:space="0" w:color="auto"/>
              <w:bottom w:val="single" w:sz="4" w:space="0" w:color="auto"/>
              <w:right w:val="single" w:sz="4" w:space="0" w:color="auto"/>
            </w:tcBorders>
            <w:vAlign w:val="center"/>
          </w:tcPr>
          <w:p w:rsidR="00E0096A" w:rsidRDefault="00E0096A" w:rsidP="00A01625">
            <w:pPr>
              <w:spacing w:after="0" w:line="240" w:lineRule="auto"/>
              <w:jc w:val="right"/>
              <w:rPr>
                <w:color w:val="000000"/>
              </w:rPr>
            </w:pPr>
            <w:r>
              <w:rPr>
                <w:color w:val="000000"/>
              </w:rPr>
              <w:t>54 000 000</w:t>
            </w:r>
          </w:p>
        </w:tc>
      </w:tr>
      <w:tr w:rsidR="00E0096A" w:rsidRPr="00DA3AC7" w:rsidTr="00A01625">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096A" w:rsidRPr="00DA3AC7" w:rsidRDefault="00E0096A" w:rsidP="00A01625">
            <w:pPr>
              <w:spacing w:after="0" w:line="240" w:lineRule="auto"/>
              <w:rPr>
                <w:color w:val="000000"/>
              </w:rPr>
            </w:pPr>
            <w:r w:rsidRPr="00DA3AC7">
              <w:rPr>
                <w:color w:val="000000"/>
              </w:rPr>
              <w:t xml:space="preserve">Saldo </w:t>
            </w:r>
          </w:p>
        </w:tc>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96A" w:rsidRPr="00DA3AC7" w:rsidRDefault="00E0096A" w:rsidP="00A01625">
            <w:pPr>
              <w:spacing w:after="0" w:line="240" w:lineRule="auto"/>
              <w:jc w:val="right"/>
              <w:rPr>
                <w:color w:val="000000"/>
              </w:rPr>
            </w:pPr>
            <w:r>
              <w:rPr>
                <w:color w:val="000000"/>
              </w:rPr>
              <w:t>+ 2 000 000</w:t>
            </w:r>
          </w:p>
        </w:tc>
        <w:tc>
          <w:tcPr>
            <w:tcW w:w="2211" w:type="dxa"/>
            <w:tcBorders>
              <w:top w:val="single" w:sz="4" w:space="0" w:color="auto"/>
              <w:left w:val="single" w:sz="4" w:space="0" w:color="auto"/>
              <w:bottom w:val="single" w:sz="4" w:space="0" w:color="auto"/>
              <w:right w:val="single" w:sz="4" w:space="0" w:color="auto"/>
            </w:tcBorders>
            <w:vAlign w:val="center"/>
          </w:tcPr>
          <w:p w:rsidR="00E0096A" w:rsidRDefault="00E0096A" w:rsidP="00A01625">
            <w:pPr>
              <w:spacing w:after="0" w:line="240" w:lineRule="auto"/>
              <w:jc w:val="right"/>
              <w:rPr>
                <w:color w:val="000000"/>
              </w:rPr>
            </w:pPr>
            <w:r>
              <w:rPr>
                <w:color w:val="000000"/>
              </w:rPr>
              <w:t>- 9 000 000</w:t>
            </w:r>
          </w:p>
        </w:tc>
      </w:tr>
      <w:tr w:rsidR="00E0096A" w:rsidRPr="00DA3AC7" w:rsidTr="00A01625">
        <w:trPr>
          <w:trHeight w:val="270"/>
        </w:trPr>
        <w:tc>
          <w:tcPr>
            <w:tcW w:w="1440" w:type="dxa"/>
            <w:tcBorders>
              <w:top w:val="single" w:sz="4" w:space="0" w:color="auto"/>
              <w:left w:val="single" w:sz="4" w:space="0" w:color="auto"/>
              <w:right w:val="single" w:sz="4" w:space="0" w:color="auto"/>
            </w:tcBorders>
            <w:shd w:val="clear" w:color="auto" w:fill="auto"/>
            <w:noWrap/>
            <w:vAlign w:val="bottom"/>
          </w:tcPr>
          <w:p w:rsidR="00E0096A" w:rsidRPr="00DA3AC7" w:rsidRDefault="00E0096A" w:rsidP="00A01625">
            <w:pPr>
              <w:spacing w:after="0" w:line="240" w:lineRule="auto"/>
              <w:rPr>
                <w:color w:val="000000"/>
              </w:rPr>
            </w:pPr>
            <w:r>
              <w:rPr>
                <w:color w:val="000000"/>
              </w:rPr>
              <w:t>Financování</w:t>
            </w:r>
          </w:p>
        </w:tc>
        <w:tc>
          <w:tcPr>
            <w:tcW w:w="2211" w:type="dxa"/>
            <w:tcBorders>
              <w:top w:val="single" w:sz="4" w:space="0" w:color="auto"/>
              <w:left w:val="single" w:sz="4" w:space="0" w:color="auto"/>
              <w:right w:val="single" w:sz="4" w:space="0" w:color="auto"/>
            </w:tcBorders>
            <w:shd w:val="clear" w:color="auto" w:fill="auto"/>
            <w:noWrap/>
            <w:vAlign w:val="center"/>
          </w:tcPr>
          <w:p w:rsidR="00E0096A" w:rsidRPr="005B3E39" w:rsidRDefault="00E0096A" w:rsidP="00A01625">
            <w:pPr>
              <w:spacing w:after="0" w:line="240" w:lineRule="auto"/>
              <w:jc w:val="right"/>
              <w:rPr>
                <w:color w:val="000000"/>
              </w:rPr>
            </w:pPr>
            <w:r>
              <w:rPr>
                <w:color w:val="000000"/>
              </w:rPr>
              <w:t>- 2 000 000</w:t>
            </w:r>
          </w:p>
        </w:tc>
        <w:tc>
          <w:tcPr>
            <w:tcW w:w="2211" w:type="dxa"/>
            <w:tcBorders>
              <w:top w:val="single" w:sz="4" w:space="0" w:color="auto"/>
              <w:left w:val="single" w:sz="4" w:space="0" w:color="auto"/>
              <w:right w:val="single" w:sz="4" w:space="0" w:color="auto"/>
            </w:tcBorders>
            <w:vAlign w:val="center"/>
          </w:tcPr>
          <w:p w:rsidR="00E0096A" w:rsidRDefault="00E0096A" w:rsidP="00A01625">
            <w:pPr>
              <w:spacing w:after="0" w:line="240" w:lineRule="auto"/>
              <w:jc w:val="right"/>
              <w:rPr>
                <w:color w:val="000000"/>
              </w:rPr>
            </w:pPr>
            <w:r>
              <w:rPr>
                <w:color w:val="000000"/>
              </w:rPr>
              <w:t>+ 9 000 000</w:t>
            </w:r>
          </w:p>
        </w:tc>
      </w:tr>
      <w:tr w:rsidR="00E0096A" w:rsidRPr="00DA3AC7" w:rsidTr="00A01625">
        <w:trPr>
          <w:trHeight w:val="270"/>
        </w:trPr>
        <w:tc>
          <w:tcPr>
            <w:tcW w:w="1440" w:type="dxa"/>
            <w:tcBorders>
              <w:left w:val="single" w:sz="4" w:space="0" w:color="auto"/>
              <w:bottom w:val="single" w:sz="4" w:space="0" w:color="auto"/>
              <w:right w:val="single" w:sz="4" w:space="0" w:color="auto"/>
            </w:tcBorders>
            <w:shd w:val="clear" w:color="auto" w:fill="auto"/>
            <w:noWrap/>
            <w:vAlign w:val="bottom"/>
          </w:tcPr>
          <w:p w:rsidR="00E0096A" w:rsidRPr="00045A75" w:rsidRDefault="00E0096A" w:rsidP="00A01625">
            <w:pPr>
              <w:spacing w:after="0" w:line="240" w:lineRule="auto"/>
              <w:rPr>
                <w:b/>
                <w:i/>
                <w:color w:val="000000"/>
              </w:rPr>
            </w:pPr>
            <w:r w:rsidRPr="00045A75">
              <w:rPr>
                <w:b/>
                <w:i/>
                <w:color w:val="000000"/>
              </w:rPr>
              <w:t>Pol. 8115</w:t>
            </w:r>
          </w:p>
        </w:tc>
        <w:tc>
          <w:tcPr>
            <w:tcW w:w="2211" w:type="dxa"/>
            <w:tcBorders>
              <w:left w:val="single" w:sz="4" w:space="0" w:color="auto"/>
              <w:bottom w:val="single" w:sz="4" w:space="0" w:color="auto"/>
              <w:right w:val="single" w:sz="4" w:space="0" w:color="auto"/>
            </w:tcBorders>
            <w:shd w:val="clear" w:color="auto" w:fill="auto"/>
            <w:noWrap/>
            <w:vAlign w:val="center"/>
          </w:tcPr>
          <w:p w:rsidR="00E0096A" w:rsidRPr="0084024F" w:rsidRDefault="00E0096A" w:rsidP="00A01625">
            <w:pPr>
              <w:spacing w:after="0" w:line="240" w:lineRule="auto"/>
              <w:jc w:val="right"/>
              <w:rPr>
                <w:b/>
                <w:i/>
                <w:color w:val="000000"/>
              </w:rPr>
            </w:pPr>
            <w:r>
              <w:rPr>
                <w:b/>
                <w:i/>
                <w:color w:val="000000"/>
              </w:rPr>
              <w:t>- 2</w:t>
            </w:r>
            <w:r w:rsidRPr="0084024F">
              <w:rPr>
                <w:b/>
                <w:i/>
                <w:color w:val="000000"/>
              </w:rPr>
              <w:t xml:space="preserve"> 000 000</w:t>
            </w:r>
          </w:p>
        </w:tc>
        <w:tc>
          <w:tcPr>
            <w:tcW w:w="2211" w:type="dxa"/>
            <w:tcBorders>
              <w:left w:val="single" w:sz="4" w:space="0" w:color="auto"/>
              <w:bottom w:val="single" w:sz="4" w:space="0" w:color="auto"/>
              <w:right w:val="single" w:sz="4" w:space="0" w:color="auto"/>
            </w:tcBorders>
            <w:vAlign w:val="center"/>
          </w:tcPr>
          <w:p w:rsidR="00E0096A" w:rsidRDefault="00E0096A" w:rsidP="00A01625">
            <w:pPr>
              <w:spacing w:after="0" w:line="240" w:lineRule="auto"/>
              <w:jc w:val="right"/>
              <w:rPr>
                <w:b/>
                <w:i/>
                <w:color w:val="000000"/>
              </w:rPr>
            </w:pPr>
            <w:r>
              <w:rPr>
                <w:b/>
                <w:i/>
                <w:color w:val="000000"/>
              </w:rPr>
              <w:t xml:space="preserve"> + 9 000 000</w:t>
            </w:r>
          </w:p>
        </w:tc>
      </w:tr>
    </w:tbl>
    <w:p w:rsidR="00E0096A" w:rsidRPr="005558B8" w:rsidRDefault="00E0096A" w:rsidP="00E0096A">
      <w:pPr>
        <w:spacing w:before="160" w:line="240" w:lineRule="auto"/>
        <w:jc w:val="both"/>
        <w:rPr>
          <w:sz w:val="26"/>
          <w:szCs w:val="26"/>
        </w:rPr>
      </w:pPr>
      <w:r w:rsidRPr="005558B8">
        <w:rPr>
          <w:sz w:val="26"/>
          <w:szCs w:val="26"/>
        </w:rPr>
        <w:t>Ačkoliv byl rozpočet na rok 2019 schválen jako přebytkový (přebytek 2 mil. Kč a</w:t>
      </w:r>
      <w:r>
        <w:rPr>
          <w:sz w:val="26"/>
          <w:szCs w:val="26"/>
        </w:rPr>
        <w:t xml:space="preserve"> plánovaný</w:t>
      </w:r>
      <w:r w:rsidRPr="005558B8">
        <w:rPr>
          <w:sz w:val="26"/>
          <w:szCs w:val="26"/>
        </w:rPr>
        <w:t xml:space="preserve"> přírůstek prostředků rovněž 2 mil. Kč), v průběhu roku se rozpočtovými změnami charakter rozpočtu změnil a k 30. 9. 2019 je upravený rozpočet schodkový (schodek 9 mil. Kč a plánovaný úbytek peněz rovněž 9 mil. Kč). Zapoj</w:t>
      </w:r>
      <w:r>
        <w:rPr>
          <w:sz w:val="26"/>
          <w:szCs w:val="26"/>
        </w:rPr>
        <w:t>ování</w:t>
      </w:r>
      <w:r w:rsidRPr="005558B8">
        <w:rPr>
          <w:sz w:val="26"/>
          <w:szCs w:val="26"/>
        </w:rPr>
        <w:t xml:space="preserve"> kladné položky 8115 je v průběhu celého roku 2019 </w:t>
      </w:r>
      <w:r>
        <w:rPr>
          <w:sz w:val="26"/>
          <w:szCs w:val="26"/>
        </w:rPr>
        <w:t xml:space="preserve">možné provádět pouze do výše zůstatku </w:t>
      </w:r>
      <w:r w:rsidRPr="005558B8">
        <w:rPr>
          <w:sz w:val="26"/>
          <w:szCs w:val="26"/>
        </w:rPr>
        <w:t xml:space="preserve">prostředků na účtech k 31. 12. 2018. Není možné do rozpočtu zapojit více prostředků z minulých let, než kolik bylo reálně k 31. 12. 2018 na účtech obce. </w:t>
      </w:r>
    </w:p>
    <w:p w:rsidR="00E0096A" w:rsidRPr="00BA266D" w:rsidRDefault="00E0096A" w:rsidP="00E0096A">
      <w:pPr>
        <w:spacing w:line="240" w:lineRule="auto"/>
        <w:jc w:val="both"/>
        <w:rPr>
          <w:sz w:val="26"/>
          <w:szCs w:val="26"/>
        </w:rPr>
      </w:pPr>
      <w:r w:rsidRPr="00497409">
        <w:rPr>
          <w:sz w:val="26"/>
          <w:szCs w:val="26"/>
        </w:rPr>
        <w:t xml:space="preserve">Pokud obce neplánují hospodařit v provizoriu, schvalují </w:t>
      </w:r>
      <w:r w:rsidR="00AB33EC">
        <w:rPr>
          <w:sz w:val="26"/>
          <w:szCs w:val="26"/>
        </w:rPr>
        <w:t>rozpočet</w:t>
      </w:r>
      <w:r w:rsidRPr="00497409">
        <w:rPr>
          <w:sz w:val="26"/>
          <w:szCs w:val="26"/>
        </w:rPr>
        <w:t xml:space="preserve"> </w:t>
      </w:r>
      <w:r>
        <w:rPr>
          <w:sz w:val="26"/>
          <w:szCs w:val="26"/>
        </w:rPr>
        <w:t xml:space="preserve">na další </w:t>
      </w:r>
      <w:r w:rsidR="00AB33EC">
        <w:rPr>
          <w:sz w:val="26"/>
          <w:szCs w:val="26"/>
        </w:rPr>
        <w:t xml:space="preserve">rok </w:t>
      </w:r>
      <w:bookmarkStart w:id="3" w:name="_GoBack"/>
      <w:bookmarkEnd w:id="3"/>
      <w:r w:rsidRPr="00497409">
        <w:rPr>
          <w:sz w:val="26"/>
          <w:szCs w:val="26"/>
        </w:rPr>
        <w:t xml:space="preserve">obvykle v listopadu či prosinci. </w:t>
      </w:r>
      <w:r>
        <w:rPr>
          <w:sz w:val="26"/>
          <w:szCs w:val="26"/>
        </w:rPr>
        <w:t>R</w:t>
      </w:r>
      <w:r w:rsidRPr="00497409">
        <w:rPr>
          <w:sz w:val="26"/>
          <w:szCs w:val="26"/>
        </w:rPr>
        <w:t xml:space="preserve">ozpočet na rok 2020 může být schválen </w:t>
      </w:r>
      <w:r>
        <w:rPr>
          <w:sz w:val="26"/>
          <w:szCs w:val="26"/>
        </w:rPr>
        <w:t xml:space="preserve">např. dne </w:t>
      </w:r>
      <w:r w:rsidRPr="00497409">
        <w:rPr>
          <w:sz w:val="26"/>
          <w:szCs w:val="26"/>
        </w:rPr>
        <w:t xml:space="preserve">8. 12. 2019. </w:t>
      </w:r>
      <w:r>
        <w:rPr>
          <w:sz w:val="26"/>
          <w:szCs w:val="26"/>
        </w:rPr>
        <w:t xml:space="preserve">Případná maximální výše kladné položky 8115 zapojená v rozpočtu vychází z odhadované výše zůstatku prostředků na účtech (231, 236, příp. 261) k 31. 12. 2019. Pokud se </w:t>
      </w:r>
      <w:r w:rsidR="00AB33EC">
        <w:rPr>
          <w:sz w:val="26"/>
          <w:szCs w:val="26"/>
        </w:rPr>
        <w:t>v následujícím</w:t>
      </w:r>
      <w:r>
        <w:rPr>
          <w:sz w:val="26"/>
          <w:szCs w:val="26"/>
        </w:rPr>
        <w:t xml:space="preserve"> roce ukáže, že v rozpočtu bylo zapojeno více vlastních prostředků, než odpovídá konečnému zůstatku k 31. 12. 2019, je třeba provést rozpočtové opatření a situaci vyřešit buď snížením výdajů nebo odůvodněným zvýšením příjmů nebo zapojením návratných zdrojů (např. smluvně zabezpečeným úvěrem).  </w:t>
      </w:r>
    </w:p>
    <w:p w:rsidR="00E0096A" w:rsidRPr="00DD46F7" w:rsidRDefault="00E0096A" w:rsidP="00E0096A">
      <w:pPr>
        <w:spacing w:before="240" w:line="240" w:lineRule="auto"/>
        <w:jc w:val="both"/>
        <w:rPr>
          <w:b/>
          <w:smallCaps/>
          <w:sz w:val="26"/>
          <w:szCs w:val="26"/>
        </w:rPr>
      </w:pPr>
      <w:r w:rsidRPr="00DD46F7">
        <w:rPr>
          <w:b/>
          <w:smallCaps/>
          <w:sz w:val="26"/>
          <w:szCs w:val="26"/>
        </w:rPr>
        <w:lastRenderedPageBreak/>
        <w:t>Shrnující příklady variant sestavených rozpočtů</w:t>
      </w:r>
    </w:p>
    <w:p w:rsidR="00E0096A" w:rsidRPr="00A44682" w:rsidRDefault="00E0096A" w:rsidP="00E0096A">
      <w:pPr>
        <w:pStyle w:val="Titulek"/>
        <w:keepNext/>
        <w:spacing w:before="240" w:after="120"/>
        <w:rPr>
          <w:color w:val="auto"/>
          <w:sz w:val="24"/>
          <w:szCs w:val="24"/>
        </w:rPr>
      </w:pPr>
      <w:r w:rsidRPr="00A44682">
        <w:rPr>
          <w:color w:val="auto"/>
          <w:sz w:val="24"/>
          <w:szCs w:val="24"/>
        </w:rPr>
        <w:t>Příklad</w:t>
      </w:r>
      <w:r>
        <w:rPr>
          <w:color w:val="auto"/>
          <w:sz w:val="24"/>
          <w:szCs w:val="24"/>
        </w:rPr>
        <w:t xml:space="preserve"> </w:t>
      </w:r>
      <w:r w:rsidRPr="00A44682">
        <w:rPr>
          <w:color w:val="auto"/>
          <w:sz w:val="24"/>
          <w:szCs w:val="24"/>
        </w:rPr>
        <w:t>– přebytkový rozpočet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992"/>
        <w:gridCol w:w="4252"/>
      </w:tblGrid>
      <w:tr w:rsidR="00E0096A" w:rsidRPr="005E52C1" w:rsidTr="00A01625">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5E52C1" w:rsidRDefault="00E0096A" w:rsidP="00A01625">
            <w:pPr>
              <w:spacing w:after="0" w:line="240" w:lineRule="auto"/>
              <w:jc w:val="center"/>
              <w:rPr>
                <w:b/>
                <w:bCs/>
                <w:szCs w:val="24"/>
              </w:rPr>
            </w:pPr>
            <w:r w:rsidRPr="005E52C1">
              <w:rPr>
                <w:b/>
                <w:bCs/>
                <w:szCs w:val="24"/>
              </w:rPr>
              <w:t>Popis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5E52C1" w:rsidRDefault="00E0096A" w:rsidP="00A01625">
            <w:pPr>
              <w:spacing w:after="0" w:line="240" w:lineRule="auto"/>
              <w:jc w:val="center"/>
              <w:rPr>
                <w:b/>
                <w:bCs/>
                <w:szCs w:val="24"/>
              </w:rPr>
            </w:pPr>
            <w:r>
              <w:rPr>
                <w:b/>
                <w:bCs/>
                <w:szCs w:val="24"/>
              </w:rPr>
              <w:t>mil. Kč</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5E52C1" w:rsidRDefault="00E0096A" w:rsidP="00A01625">
            <w:pPr>
              <w:spacing w:after="0" w:line="240" w:lineRule="auto"/>
              <w:jc w:val="center"/>
              <w:rPr>
                <w:b/>
                <w:bCs/>
                <w:szCs w:val="24"/>
              </w:rPr>
            </w:pPr>
            <w:r w:rsidRPr="005E52C1">
              <w:rPr>
                <w:b/>
                <w:bCs/>
                <w:szCs w:val="24"/>
              </w:rPr>
              <w:t>Poznámka</w:t>
            </w:r>
          </w:p>
        </w:tc>
      </w:tr>
      <w:tr w:rsidR="00E0096A" w:rsidRPr="005E52C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rPr>
                <w:bCs/>
                <w:szCs w:val="24"/>
              </w:rPr>
            </w:pPr>
            <w:r w:rsidRPr="00CC0A42">
              <w:rPr>
                <w:bCs/>
                <w:szCs w:val="24"/>
              </w:rPr>
              <w:t>Příjmy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jc w:val="right"/>
              <w:rPr>
                <w:bCs/>
                <w:szCs w:val="24"/>
              </w:rPr>
            </w:pPr>
            <w:r w:rsidRPr="00CC0A42">
              <w:rPr>
                <w:bCs/>
                <w:szCs w:val="24"/>
              </w:rPr>
              <w:t>20</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rPr>
                <w:bCs/>
                <w:i/>
                <w:szCs w:val="24"/>
              </w:rPr>
            </w:pPr>
            <w:r w:rsidRPr="005E52C1">
              <w:rPr>
                <w:bCs/>
                <w:i/>
                <w:szCs w:val="24"/>
              </w:rPr>
              <w:t>Přebytkový rozpočet, přebytek ve výši 2.</w:t>
            </w:r>
          </w:p>
        </w:tc>
      </w:tr>
      <w:tr w:rsidR="00E0096A" w:rsidRPr="005E52C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rPr>
                <w:szCs w:val="24"/>
              </w:rPr>
            </w:pPr>
            <w:r w:rsidRPr="00CC0A42">
              <w:rPr>
                <w:szCs w:val="24"/>
              </w:rPr>
              <w:t>Výdaje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jc w:val="right"/>
              <w:rPr>
                <w:szCs w:val="24"/>
              </w:rPr>
            </w:pPr>
            <w:r w:rsidRPr="00CC0A42">
              <w:rPr>
                <w:szCs w:val="24"/>
              </w:rPr>
              <w:t>18</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5E52C1" w:rsidRDefault="00E0096A" w:rsidP="00A01625">
            <w:pPr>
              <w:spacing w:after="0" w:line="240" w:lineRule="auto"/>
              <w:rPr>
                <w:bCs/>
                <w:i/>
                <w:szCs w:val="24"/>
              </w:rPr>
            </w:pPr>
          </w:p>
        </w:tc>
      </w:tr>
      <w:tr w:rsidR="00E0096A" w:rsidRPr="005E52C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rPr>
                <w:szCs w:val="24"/>
              </w:rPr>
            </w:pPr>
            <w:r w:rsidRPr="00CC0A42">
              <w:rPr>
                <w:szCs w:val="24"/>
              </w:rPr>
              <w:t>Saldo příjmů a výdajů</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jc w:val="right"/>
              <w:rPr>
                <w:szCs w:val="24"/>
              </w:rPr>
            </w:pPr>
            <w:r w:rsidRPr="00CC0A42">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5E52C1" w:rsidRDefault="00E0096A" w:rsidP="00A01625">
            <w:pPr>
              <w:spacing w:after="0" w:line="240" w:lineRule="auto"/>
              <w:rPr>
                <w:bCs/>
                <w:i/>
                <w:szCs w:val="24"/>
              </w:rPr>
            </w:pPr>
          </w:p>
        </w:tc>
      </w:tr>
      <w:tr w:rsidR="00E0096A" w:rsidRPr="005E52C1" w:rsidTr="00A01625">
        <w:trPr>
          <w:trHeight w:val="454"/>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rPr>
                <w:b/>
                <w:szCs w:val="24"/>
              </w:rPr>
            </w:pPr>
            <w:r w:rsidRPr="005E52C1">
              <w:rPr>
                <w:b/>
                <w:szCs w:val="24"/>
              </w:rPr>
              <w:t xml:space="preserve">Financování </w:t>
            </w:r>
            <w:r>
              <w:rPr>
                <w:b/>
                <w:szCs w:val="24"/>
              </w:rPr>
              <w:t>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jc w:val="right"/>
              <w:rPr>
                <w:b/>
                <w:szCs w:val="24"/>
              </w:rPr>
            </w:pPr>
            <w:r w:rsidRPr="005E52C1">
              <w:rPr>
                <w:b/>
                <w:szCs w:val="24"/>
              </w:rPr>
              <w:t>-</w:t>
            </w:r>
            <w:r>
              <w:rPr>
                <w:b/>
                <w:szCs w:val="24"/>
              </w:rPr>
              <w:t xml:space="preserve"> </w:t>
            </w:r>
            <w:r w:rsidRPr="005E52C1">
              <w:rPr>
                <w:b/>
                <w:szCs w:val="24"/>
              </w:rPr>
              <w:t>2</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jc w:val="both"/>
              <w:rPr>
                <w:i/>
                <w:szCs w:val="24"/>
              </w:rPr>
            </w:pPr>
            <w:r w:rsidRPr="005E52C1">
              <w:rPr>
                <w:i/>
                <w:szCs w:val="24"/>
              </w:rPr>
              <w:t xml:space="preserve">Prostředky z přebytku zůstávají na </w:t>
            </w:r>
            <w:r>
              <w:rPr>
                <w:i/>
                <w:szCs w:val="24"/>
              </w:rPr>
              <w:t>účtech obce</w:t>
            </w:r>
            <w:r w:rsidRPr="005E52C1">
              <w:rPr>
                <w:i/>
                <w:szCs w:val="24"/>
              </w:rPr>
              <w:t xml:space="preserve">. </w:t>
            </w:r>
            <w:r>
              <w:rPr>
                <w:i/>
                <w:szCs w:val="24"/>
              </w:rPr>
              <w:t>Položka 8115 záporná = peníze přibydou.</w:t>
            </w:r>
          </w:p>
        </w:tc>
      </w:tr>
      <w:tr w:rsidR="00E0096A" w:rsidRPr="005E52C1" w:rsidTr="00A01625">
        <w:trPr>
          <w:trHeight w:val="454"/>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rPr>
                <w:szCs w:val="24"/>
              </w:rPr>
            </w:pPr>
            <w:r w:rsidRPr="005E52C1">
              <w:rPr>
                <w:szCs w:val="24"/>
              </w:rPr>
              <w:t>Položka 8115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5E52C1" w:rsidRDefault="00E0096A" w:rsidP="00A01625">
            <w:pPr>
              <w:spacing w:after="0" w:line="240" w:lineRule="auto"/>
              <w:jc w:val="right"/>
              <w:rPr>
                <w:szCs w:val="24"/>
              </w:rPr>
            </w:pPr>
            <w:r w:rsidRPr="005E52C1">
              <w:rPr>
                <w:szCs w:val="24"/>
              </w:rPr>
              <w:t>-</w:t>
            </w:r>
            <w:r>
              <w:rPr>
                <w:szCs w:val="24"/>
              </w:rPr>
              <w:t xml:space="preserve"> </w:t>
            </w:r>
            <w:r w:rsidRPr="005E52C1">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5E52C1" w:rsidRDefault="00E0096A" w:rsidP="00A01625">
            <w:pPr>
              <w:spacing w:after="0" w:line="240" w:lineRule="auto"/>
              <w:rPr>
                <w:i/>
                <w:szCs w:val="24"/>
              </w:rPr>
            </w:pPr>
          </w:p>
        </w:tc>
      </w:tr>
    </w:tbl>
    <w:p w:rsidR="00E0096A" w:rsidRPr="00A44682" w:rsidRDefault="00E0096A" w:rsidP="00E0096A">
      <w:pPr>
        <w:pStyle w:val="Titulek"/>
        <w:keepNext/>
        <w:spacing w:before="240" w:after="120"/>
        <w:rPr>
          <w:color w:val="auto"/>
          <w:sz w:val="24"/>
          <w:szCs w:val="24"/>
        </w:rPr>
      </w:pPr>
      <w:r w:rsidRPr="00A44682">
        <w:rPr>
          <w:color w:val="auto"/>
          <w:sz w:val="24"/>
          <w:szCs w:val="24"/>
        </w:rPr>
        <w:t>Příklad – schodkový rozpočet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992"/>
        <w:gridCol w:w="4252"/>
      </w:tblGrid>
      <w:tr w:rsidR="00E0096A" w:rsidRPr="00980A35" w:rsidTr="00A01625">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980A35" w:rsidRDefault="00E0096A" w:rsidP="00A01625">
            <w:pPr>
              <w:spacing w:after="0" w:line="240" w:lineRule="auto"/>
              <w:jc w:val="center"/>
              <w:rPr>
                <w:b/>
                <w:bCs/>
                <w:szCs w:val="24"/>
              </w:rPr>
            </w:pPr>
            <w:r w:rsidRPr="00980A35">
              <w:rPr>
                <w:b/>
                <w:bCs/>
                <w:szCs w:val="24"/>
              </w:rPr>
              <w:t>Popis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980A35" w:rsidRDefault="00E0096A" w:rsidP="00A01625">
            <w:pPr>
              <w:spacing w:after="0" w:line="240" w:lineRule="auto"/>
              <w:jc w:val="center"/>
              <w:rPr>
                <w:b/>
                <w:bCs/>
                <w:szCs w:val="24"/>
              </w:rPr>
            </w:pPr>
            <w:r w:rsidRPr="00980A35">
              <w:rPr>
                <w:b/>
                <w:bCs/>
                <w:szCs w:val="24"/>
              </w:rPr>
              <w:t>mil. Kč</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980A35" w:rsidRDefault="00E0096A" w:rsidP="00A01625">
            <w:pPr>
              <w:spacing w:after="0" w:line="240" w:lineRule="auto"/>
              <w:jc w:val="center"/>
              <w:rPr>
                <w:b/>
                <w:bCs/>
                <w:szCs w:val="24"/>
              </w:rPr>
            </w:pPr>
            <w:r w:rsidRPr="00980A35">
              <w:rPr>
                <w:b/>
                <w:bCs/>
                <w:szCs w:val="24"/>
              </w:rPr>
              <w:t>Poznámka</w:t>
            </w:r>
          </w:p>
        </w:tc>
      </w:tr>
      <w:tr w:rsidR="00E0096A" w:rsidRPr="00980A35"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rPr>
                <w:bCs/>
                <w:szCs w:val="24"/>
              </w:rPr>
            </w:pPr>
            <w:r w:rsidRPr="00CC0A42">
              <w:rPr>
                <w:bCs/>
                <w:szCs w:val="24"/>
              </w:rPr>
              <w:t>Příjmy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jc w:val="right"/>
              <w:rPr>
                <w:bCs/>
                <w:szCs w:val="24"/>
              </w:rPr>
            </w:pPr>
            <w:r w:rsidRPr="00CC0A42">
              <w:rPr>
                <w:bCs/>
                <w:szCs w:val="24"/>
              </w:rPr>
              <w:t>20</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jc w:val="both"/>
              <w:rPr>
                <w:bCs/>
                <w:i/>
                <w:szCs w:val="24"/>
              </w:rPr>
            </w:pPr>
            <w:r w:rsidRPr="00980A35">
              <w:rPr>
                <w:bCs/>
                <w:i/>
                <w:szCs w:val="24"/>
              </w:rPr>
              <w:t xml:space="preserve">Schodkový rozpočet, schodek ve výši 2. </w:t>
            </w:r>
          </w:p>
        </w:tc>
      </w:tr>
      <w:tr w:rsidR="00E0096A" w:rsidRPr="00980A35"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rPr>
                <w:szCs w:val="24"/>
              </w:rPr>
            </w:pPr>
            <w:r w:rsidRPr="00CC0A42">
              <w:rPr>
                <w:szCs w:val="24"/>
              </w:rPr>
              <w:t>Výdaje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CC0A42" w:rsidRDefault="00E0096A" w:rsidP="00A01625">
            <w:pPr>
              <w:spacing w:after="0" w:line="240" w:lineRule="auto"/>
              <w:jc w:val="right"/>
              <w:rPr>
                <w:szCs w:val="24"/>
              </w:rPr>
            </w:pPr>
            <w:r w:rsidRPr="00CC0A42">
              <w:rPr>
                <w:szCs w:val="24"/>
              </w:rPr>
              <w:t>22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980A35" w:rsidRDefault="00E0096A" w:rsidP="00A01625">
            <w:pPr>
              <w:spacing w:after="0" w:line="240" w:lineRule="auto"/>
              <w:rPr>
                <w:bCs/>
                <w:i/>
                <w:szCs w:val="24"/>
              </w:rPr>
            </w:pPr>
          </w:p>
        </w:tc>
      </w:tr>
      <w:tr w:rsidR="00E0096A" w:rsidRPr="00980A35"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rPr>
                <w:szCs w:val="24"/>
              </w:rPr>
            </w:pPr>
            <w:r w:rsidRPr="00980A35">
              <w:rPr>
                <w:szCs w:val="24"/>
              </w:rPr>
              <w:t>Saldo příjmů a výdajů</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jc w:val="right"/>
              <w:rPr>
                <w:szCs w:val="24"/>
              </w:rPr>
            </w:pPr>
            <w:r w:rsidRPr="00980A35">
              <w:rPr>
                <w:szCs w:val="24"/>
              </w:rPr>
              <w:t>-</w:t>
            </w:r>
            <w:r>
              <w:rPr>
                <w:szCs w:val="24"/>
              </w:rPr>
              <w:t xml:space="preserve"> </w:t>
            </w:r>
            <w:r w:rsidRPr="00980A35">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980A35" w:rsidRDefault="00E0096A" w:rsidP="00A01625">
            <w:pPr>
              <w:spacing w:after="0" w:line="240" w:lineRule="auto"/>
              <w:rPr>
                <w:bCs/>
                <w:i/>
                <w:szCs w:val="24"/>
              </w:rPr>
            </w:pPr>
          </w:p>
        </w:tc>
      </w:tr>
      <w:tr w:rsidR="00E0096A" w:rsidRPr="00980A35" w:rsidTr="00A01625">
        <w:trPr>
          <w:trHeight w:val="794"/>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rPr>
                <w:b/>
                <w:szCs w:val="24"/>
              </w:rPr>
            </w:pPr>
            <w:r w:rsidRPr="00980A35">
              <w:rPr>
                <w:b/>
                <w:szCs w:val="24"/>
              </w:rPr>
              <w:t>Financování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jc w:val="right"/>
              <w:rPr>
                <w:b/>
                <w:szCs w:val="24"/>
              </w:rPr>
            </w:pPr>
            <w:r w:rsidRPr="00980A35">
              <w:rPr>
                <w:b/>
                <w:szCs w:val="24"/>
              </w:rPr>
              <w:t>2</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spacing w:after="0" w:line="240" w:lineRule="auto"/>
              <w:jc w:val="both"/>
              <w:rPr>
                <w:i/>
                <w:szCs w:val="24"/>
              </w:rPr>
            </w:pPr>
            <w:r w:rsidRPr="00980A35">
              <w:rPr>
                <w:i/>
                <w:szCs w:val="24"/>
              </w:rPr>
              <w:t>Takto se standardně sestavuje schodkový rozpočet v situaci, kdy obec má prostředky na svých účtech a nemusí proto čerpat návratné zdroj</w:t>
            </w:r>
            <w:r>
              <w:rPr>
                <w:i/>
                <w:szCs w:val="24"/>
              </w:rPr>
              <w:t>e</w:t>
            </w:r>
            <w:r w:rsidRPr="00980A35">
              <w:rPr>
                <w:i/>
                <w:szCs w:val="24"/>
              </w:rPr>
              <w:t xml:space="preserve"> (úvěr</w:t>
            </w:r>
            <w:r>
              <w:rPr>
                <w:i/>
                <w:szCs w:val="24"/>
              </w:rPr>
              <w:t xml:space="preserve"> …</w:t>
            </w:r>
            <w:r w:rsidRPr="00980A35">
              <w:rPr>
                <w:i/>
                <w:szCs w:val="24"/>
              </w:rPr>
              <w:t xml:space="preserve">). Podmínkou pro takové rozpočtování </w:t>
            </w:r>
            <w:r>
              <w:rPr>
                <w:i/>
                <w:szCs w:val="24"/>
              </w:rPr>
              <w:t xml:space="preserve">je dostatek prostředků k 31. 12. předchozího roku </w:t>
            </w:r>
            <w:r w:rsidRPr="00980A35">
              <w:rPr>
                <w:i/>
                <w:szCs w:val="24"/>
              </w:rPr>
              <w:t xml:space="preserve">na účtech obce. </w:t>
            </w:r>
            <w:r>
              <w:rPr>
                <w:i/>
                <w:szCs w:val="24"/>
              </w:rPr>
              <w:t xml:space="preserve">Položka 8115 kladná = peníze ubydou. </w:t>
            </w:r>
            <w:r w:rsidRPr="005E52C1">
              <w:rPr>
                <w:i/>
                <w:szCs w:val="24"/>
              </w:rPr>
              <w:t xml:space="preserve">  </w:t>
            </w:r>
          </w:p>
        </w:tc>
      </w:tr>
      <w:tr w:rsidR="00E0096A" w:rsidRPr="00980A35" w:rsidTr="00A01625">
        <w:trPr>
          <w:trHeight w:val="794"/>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rPr>
                <w:szCs w:val="24"/>
              </w:rPr>
            </w:pPr>
            <w:r w:rsidRPr="00980A35">
              <w:rPr>
                <w:szCs w:val="24"/>
              </w:rPr>
              <w:t>Položka 8115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980A35" w:rsidRDefault="00E0096A" w:rsidP="00A01625">
            <w:pPr>
              <w:jc w:val="right"/>
              <w:rPr>
                <w:szCs w:val="24"/>
              </w:rPr>
            </w:pPr>
            <w:r w:rsidRPr="00980A35">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980A35" w:rsidRDefault="00E0096A" w:rsidP="00A01625">
            <w:pPr>
              <w:rPr>
                <w:i/>
                <w:szCs w:val="24"/>
              </w:rPr>
            </w:pPr>
          </w:p>
        </w:tc>
      </w:tr>
    </w:tbl>
    <w:p w:rsidR="00E0096A" w:rsidRPr="00A44682" w:rsidRDefault="00E0096A" w:rsidP="00E0096A">
      <w:pPr>
        <w:pStyle w:val="Titulek"/>
        <w:keepNext/>
        <w:spacing w:before="240" w:after="120"/>
        <w:rPr>
          <w:color w:val="auto"/>
          <w:sz w:val="24"/>
          <w:szCs w:val="24"/>
        </w:rPr>
      </w:pPr>
      <w:r w:rsidRPr="00A44682">
        <w:rPr>
          <w:color w:val="auto"/>
          <w:sz w:val="24"/>
          <w:szCs w:val="24"/>
        </w:rPr>
        <w:t>Příklad – schodkový rozpočet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992"/>
        <w:gridCol w:w="4252"/>
      </w:tblGrid>
      <w:tr w:rsidR="00E0096A" w:rsidRPr="001B3A91" w:rsidTr="00A01625">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1B3A91" w:rsidRDefault="00E0096A" w:rsidP="00A01625">
            <w:pPr>
              <w:spacing w:after="0" w:line="240" w:lineRule="auto"/>
              <w:jc w:val="center"/>
              <w:rPr>
                <w:b/>
                <w:bCs/>
                <w:szCs w:val="24"/>
              </w:rPr>
            </w:pPr>
            <w:r w:rsidRPr="001B3A91">
              <w:rPr>
                <w:b/>
                <w:bCs/>
                <w:szCs w:val="24"/>
              </w:rPr>
              <w:t>Popis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1B3A91" w:rsidRDefault="00E0096A" w:rsidP="00A01625">
            <w:pPr>
              <w:spacing w:after="0" w:line="240" w:lineRule="auto"/>
              <w:jc w:val="center"/>
              <w:rPr>
                <w:b/>
                <w:bCs/>
                <w:szCs w:val="24"/>
              </w:rPr>
            </w:pPr>
            <w:r w:rsidRPr="001B3A91">
              <w:rPr>
                <w:b/>
                <w:bCs/>
                <w:szCs w:val="24"/>
              </w:rPr>
              <w:t>mil. Kč</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1B3A91" w:rsidRDefault="00E0096A" w:rsidP="00A01625">
            <w:pPr>
              <w:spacing w:after="0" w:line="240" w:lineRule="auto"/>
              <w:jc w:val="center"/>
              <w:rPr>
                <w:b/>
                <w:bCs/>
                <w:szCs w:val="24"/>
              </w:rPr>
            </w:pPr>
            <w:r w:rsidRPr="001B3A91">
              <w:rPr>
                <w:b/>
                <w:bCs/>
                <w:szCs w:val="24"/>
              </w:rPr>
              <w:t>Poznámka</w:t>
            </w:r>
          </w:p>
        </w:tc>
      </w:tr>
      <w:tr w:rsidR="00E0096A" w:rsidRPr="001B3A9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D46F7" w:rsidRDefault="00E0096A" w:rsidP="00A01625">
            <w:pPr>
              <w:spacing w:after="0" w:line="240" w:lineRule="auto"/>
              <w:rPr>
                <w:bCs/>
                <w:szCs w:val="24"/>
              </w:rPr>
            </w:pPr>
            <w:r w:rsidRPr="00DD46F7">
              <w:rPr>
                <w:bCs/>
                <w:szCs w:val="24"/>
              </w:rPr>
              <w:t>Příjmy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D46F7" w:rsidRDefault="00E0096A" w:rsidP="00A01625">
            <w:pPr>
              <w:spacing w:after="0" w:line="240" w:lineRule="auto"/>
              <w:jc w:val="right"/>
              <w:rPr>
                <w:bCs/>
                <w:szCs w:val="24"/>
              </w:rPr>
            </w:pPr>
            <w:r w:rsidRPr="00DD46F7">
              <w:rPr>
                <w:bCs/>
                <w:szCs w:val="24"/>
              </w:rPr>
              <w:t>20</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jc w:val="both"/>
              <w:rPr>
                <w:bCs/>
                <w:i/>
                <w:szCs w:val="24"/>
              </w:rPr>
            </w:pPr>
            <w:r w:rsidRPr="001B3A91">
              <w:rPr>
                <w:bCs/>
                <w:i/>
                <w:szCs w:val="24"/>
              </w:rPr>
              <w:t xml:space="preserve">Schodkový rozpočet, schodek ve výši 4. </w:t>
            </w:r>
          </w:p>
        </w:tc>
      </w:tr>
      <w:tr w:rsidR="00E0096A" w:rsidRPr="001B3A9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D46F7" w:rsidRDefault="00E0096A" w:rsidP="00A01625">
            <w:pPr>
              <w:spacing w:after="0" w:line="240" w:lineRule="auto"/>
              <w:rPr>
                <w:szCs w:val="24"/>
              </w:rPr>
            </w:pPr>
            <w:r w:rsidRPr="00DD46F7">
              <w:rPr>
                <w:szCs w:val="24"/>
              </w:rPr>
              <w:t>Výdaje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D46F7" w:rsidRDefault="00E0096A" w:rsidP="00A01625">
            <w:pPr>
              <w:spacing w:after="0" w:line="240" w:lineRule="auto"/>
              <w:jc w:val="right"/>
              <w:rPr>
                <w:szCs w:val="24"/>
              </w:rPr>
            </w:pPr>
            <w:r w:rsidRPr="00DD46F7">
              <w:rPr>
                <w:szCs w:val="24"/>
              </w:rPr>
              <w:t>24</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1B3A91" w:rsidRDefault="00E0096A" w:rsidP="00A01625">
            <w:pPr>
              <w:spacing w:after="0" w:line="240" w:lineRule="auto"/>
              <w:rPr>
                <w:bCs/>
                <w:i/>
                <w:szCs w:val="24"/>
              </w:rPr>
            </w:pPr>
          </w:p>
        </w:tc>
      </w:tr>
      <w:tr w:rsidR="00E0096A" w:rsidRPr="001B3A91"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rPr>
                <w:szCs w:val="24"/>
              </w:rPr>
            </w:pPr>
            <w:r w:rsidRPr="001B3A91">
              <w:rPr>
                <w:szCs w:val="24"/>
              </w:rPr>
              <w:t>Saldo příjmů a výdajů</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jc w:val="right"/>
              <w:rPr>
                <w:szCs w:val="24"/>
              </w:rPr>
            </w:pPr>
            <w:r w:rsidRPr="001B3A91">
              <w:rPr>
                <w:szCs w:val="24"/>
              </w:rPr>
              <w:t>-</w:t>
            </w:r>
            <w:r>
              <w:rPr>
                <w:szCs w:val="24"/>
              </w:rPr>
              <w:t xml:space="preserve"> </w:t>
            </w:r>
            <w:r w:rsidRPr="001B3A91">
              <w:rPr>
                <w:szCs w:val="24"/>
              </w:rPr>
              <w:t>4</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1B3A91" w:rsidRDefault="00E0096A" w:rsidP="00A01625">
            <w:pPr>
              <w:spacing w:after="0" w:line="240" w:lineRule="auto"/>
              <w:rPr>
                <w:bCs/>
                <w:i/>
                <w:szCs w:val="24"/>
              </w:rPr>
            </w:pPr>
          </w:p>
        </w:tc>
      </w:tr>
      <w:tr w:rsidR="00E0096A" w:rsidRPr="001B3A91" w:rsidTr="00A01625">
        <w:trPr>
          <w:trHeight w:val="398"/>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rPr>
                <w:b/>
                <w:szCs w:val="24"/>
              </w:rPr>
            </w:pPr>
            <w:r w:rsidRPr="001B3A91">
              <w:rPr>
                <w:b/>
                <w:szCs w:val="24"/>
              </w:rPr>
              <w:t>Financování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jc w:val="right"/>
              <w:rPr>
                <w:b/>
                <w:szCs w:val="24"/>
              </w:rPr>
            </w:pPr>
            <w:r w:rsidRPr="001B3A91">
              <w:rPr>
                <w:b/>
                <w:szCs w:val="24"/>
              </w:rPr>
              <w:t>4</w:t>
            </w:r>
          </w:p>
        </w:tc>
        <w:tc>
          <w:tcPr>
            <w:tcW w:w="4252" w:type="dxa"/>
            <w:vMerge w:val="restart"/>
            <w:tcBorders>
              <w:top w:val="single" w:sz="4" w:space="0" w:color="auto"/>
              <w:left w:val="single" w:sz="4" w:space="0" w:color="auto"/>
              <w:right w:val="single" w:sz="4" w:space="0" w:color="auto"/>
            </w:tcBorders>
            <w:noWrap/>
            <w:vAlign w:val="center"/>
            <w:hideMark/>
          </w:tcPr>
          <w:p w:rsidR="00E0096A" w:rsidRPr="001B3A91" w:rsidRDefault="00E0096A" w:rsidP="00A01625">
            <w:pPr>
              <w:spacing w:after="0" w:line="240" w:lineRule="auto"/>
              <w:jc w:val="both"/>
              <w:rPr>
                <w:i/>
                <w:szCs w:val="24"/>
              </w:rPr>
            </w:pPr>
            <w:r w:rsidRPr="001B3A91">
              <w:rPr>
                <w:i/>
                <w:szCs w:val="24"/>
              </w:rPr>
              <w:t>Schodkový rozpočet krytý dlouhodobými návratnými zdroji (úvěrem).</w:t>
            </w:r>
            <w:r>
              <w:rPr>
                <w:i/>
                <w:szCs w:val="24"/>
              </w:rPr>
              <w:t xml:space="preserve"> Položka 8115 nulová = stav peněz na účtech se nezmění.  </w:t>
            </w:r>
          </w:p>
        </w:tc>
      </w:tr>
      <w:tr w:rsidR="00E0096A" w:rsidRPr="001B3A91" w:rsidTr="00A01625">
        <w:trPr>
          <w:trHeight w:val="438"/>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rPr>
                <w:szCs w:val="24"/>
              </w:rPr>
            </w:pPr>
            <w:r w:rsidRPr="001B3A91">
              <w:rPr>
                <w:szCs w:val="24"/>
              </w:rPr>
              <w:t>Položka 8115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jc w:val="right"/>
              <w:rPr>
                <w:szCs w:val="24"/>
              </w:rPr>
            </w:pPr>
            <w:r w:rsidRPr="001B3A91">
              <w:rPr>
                <w:szCs w:val="24"/>
              </w:rPr>
              <w:t>0</w:t>
            </w:r>
          </w:p>
        </w:tc>
        <w:tc>
          <w:tcPr>
            <w:tcW w:w="4252" w:type="dxa"/>
            <w:vMerge/>
            <w:tcBorders>
              <w:left w:val="single" w:sz="4" w:space="0" w:color="auto"/>
              <w:right w:val="single" w:sz="4" w:space="0" w:color="auto"/>
            </w:tcBorders>
            <w:vAlign w:val="center"/>
            <w:hideMark/>
          </w:tcPr>
          <w:p w:rsidR="00E0096A" w:rsidRPr="001B3A91" w:rsidRDefault="00E0096A" w:rsidP="00A01625">
            <w:pPr>
              <w:spacing w:after="0" w:line="240" w:lineRule="auto"/>
              <w:rPr>
                <w:i/>
                <w:szCs w:val="24"/>
              </w:rPr>
            </w:pPr>
          </w:p>
        </w:tc>
      </w:tr>
      <w:tr w:rsidR="00E0096A" w:rsidRPr="001B3A91" w:rsidTr="00A01625">
        <w:trPr>
          <w:trHeight w:val="438"/>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rPr>
                <w:szCs w:val="24"/>
              </w:rPr>
            </w:pPr>
            <w:r w:rsidRPr="001B3A91">
              <w:rPr>
                <w:szCs w:val="24"/>
              </w:rPr>
              <w:t>Položka 8123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1B3A91" w:rsidRDefault="00E0096A" w:rsidP="00A01625">
            <w:pPr>
              <w:spacing w:after="0" w:line="240" w:lineRule="auto"/>
              <w:jc w:val="right"/>
              <w:rPr>
                <w:szCs w:val="24"/>
              </w:rPr>
            </w:pPr>
            <w:r w:rsidRPr="001B3A91">
              <w:rPr>
                <w:szCs w:val="24"/>
              </w:rPr>
              <w:t>4</w:t>
            </w:r>
          </w:p>
        </w:tc>
        <w:tc>
          <w:tcPr>
            <w:tcW w:w="4252" w:type="dxa"/>
            <w:vMerge/>
            <w:tcBorders>
              <w:left w:val="single" w:sz="4" w:space="0" w:color="auto"/>
              <w:bottom w:val="single" w:sz="4" w:space="0" w:color="auto"/>
              <w:right w:val="single" w:sz="4" w:space="0" w:color="auto"/>
            </w:tcBorders>
            <w:vAlign w:val="center"/>
            <w:hideMark/>
          </w:tcPr>
          <w:p w:rsidR="00E0096A" w:rsidRPr="001B3A91" w:rsidRDefault="00E0096A" w:rsidP="00A01625">
            <w:pPr>
              <w:spacing w:after="0" w:line="240" w:lineRule="auto"/>
              <w:rPr>
                <w:i/>
                <w:szCs w:val="24"/>
              </w:rPr>
            </w:pPr>
          </w:p>
        </w:tc>
      </w:tr>
    </w:tbl>
    <w:p w:rsidR="00E0096A" w:rsidRDefault="00E0096A" w:rsidP="00E0096A">
      <w:pPr>
        <w:contextualSpacing/>
        <w:jc w:val="both"/>
        <w:rPr>
          <w:i/>
        </w:rPr>
      </w:pPr>
    </w:p>
    <w:p w:rsidR="00E0096A" w:rsidRPr="00A44682" w:rsidRDefault="00E0096A" w:rsidP="00E0096A">
      <w:pPr>
        <w:spacing w:after="120" w:line="240" w:lineRule="auto"/>
        <w:jc w:val="both"/>
        <w:rPr>
          <w:i/>
        </w:rPr>
      </w:pPr>
      <w:r w:rsidRPr="00A44682">
        <w:rPr>
          <w:i/>
        </w:rPr>
        <w:t>Příklad – přebytkový rozpočet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992"/>
        <w:gridCol w:w="4252"/>
      </w:tblGrid>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D22ECA" w:rsidRDefault="00E0096A" w:rsidP="00A01625">
            <w:pPr>
              <w:spacing w:after="0" w:line="240" w:lineRule="auto"/>
              <w:jc w:val="center"/>
              <w:rPr>
                <w:b/>
                <w:bCs/>
                <w:szCs w:val="24"/>
              </w:rPr>
            </w:pPr>
            <w:r w:rsidRPr="00D22ECA">
              <w:rPr>
                <w:b/>
                <w:bCs/>
                <w:szCs w:val="24"/>
              </w:rPr>
              <w:t>Popis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D22ECA" w:rsidRDefault="00E0096A" w:rsidP="00A01625">
            <w:pPr>
              <w:spacing w:after="0" w:line="240" w:lineRule="auto"/>
              <w:jc w:val="center"/>
              <w:rPr>
                <w:b/>
                <w:bCs/>
                <w:szCs w:val="24"/>
              </w:rPr>
            </w:pPr>
            <w:r w:rsidRPr="00D22ECA">
              <w:rPr>
                <w:b/>
                <w:bCs/>
                <w:szCs w:val="24"/>
              </w:rPr>
              <w:t>mil. Kč</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D22ECA" w:rsidRDefault="00E0096A" w:rsidP="00A01625">
            <w:pPr>
              <w:spacing w:after="0" w:line="240" w:lineRule="auto"/>
              <w:jc w:val="center"/>
              <w:rPr>
                <w:b/>
                <w:bCs/>
                <w:szCs w:val="24"/>
              </w:rPr>
            </w:pPr>
            <w:r w:rsidRPr="00D22ECA">
              <w:rPr>
                <w:b/>
                <w:bCs/>
                <w:szCs w:val="24"/>
              </w:rPr>
              <w:t>Poznámka</w:t>
            </w: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bCs/>
                <w:szCs w:val="24"/>
              </w:rPr>
            </w:pPr>
            <w:r w:rsidRPr="00D22ECA">
              <w:rPr>
                <w:bCs/>
                <w:szCs w:val="24"/>
              </w:rPr>
              <w:t>Příjmy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bCs/>
                <w:szCs w:val="24"/>
              </w:rPr>
            </w:pPr>
            <w:r w:rsidRPr="00D22ECA">
              <w:rPr>
                <w:bCs/>
                <w:szCs w:val="24"/>
              </w:rPr>
              <w:t>20</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both"/>
              <w:rPr>
                <w:bCs/>
                <w:i/>
                <w:szCs w:val="24"/>
              </w:rPr>
            </w:pPr>
            <w:r w:rsidRPr="00D22ECA">
              <w:rPr>
                <w:bCs/>
                <w:i/>
                <w:szCs w:val="24"/>
              </w:rPr>
              <w:t xml:space="preserve">Přebytkový rozpočet, přebytek ve výši 2. </w:t>
            </w: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szCs w:val="24"/>
              </w:rPr>
            </w:pPr>
            <w:r w:rsidRPr="00D22ECA">
              <w:rPr>
                <w:szCs w:val="24"/>
              </w:rPr>
              <w:t>Výdaje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szCs w:val="24"/>
              </w:rPr>
            </w:pPr>
            <w:r w:rsidRPr="00D22ECA">
              <w:rPr>
                <w:szCs w:val="24"/>
              </w:rPr>
              <w:t>18</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D22ECA" w:rsidRDefault="00E0096A" w:rsidP="00A01625">
            <w:pPr>
              <w:spacing w:after="0" w:line="240" w:lineRule="auto"/>
              <w:rPr>
                <w:bCs/>
                <w:i/>
                <w:szCs w:val="24"/>
              </w:rPr>
            </w:pP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szCs w:val="24"/>
              </w:rPr>
            </w:pPr>
            <w:r w:rsidRPr="00D22ECA">
              <w:rPr>
                <w:szCs w:val="24"/>
              </w:rPr>
              <w:t>Saldo příjmů a výdajů</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szCs w:val="24"/>
              </w:rPr>
            </w:pPr>
            <w:r w:rsidRPr="00D22ECA">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D22ECA" w:rsidRDefault="00E0096A" w:rsidP="00A01625">
            <w:pPr>
              <w:spacing w:after="0" w:line="240" w:lineRule="auto"/>
              <w:rPr>
                <w:bCs/>
                <w:i/>
                <w:szCs w:val="24"/>
              </w:rPr>
            </w:pP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b/>
                <w:szCs w:val="24"/>
              </w:rPr>
            </w:pPr>
            <w:r w:rsidRPr="00D22ECA">
              <w:rPr>
                <w:b/>
                <w:szCs w:val="24"/>
              </w:rPr>
              <w:t>Financování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b/>
                <w:szCs w:val="24"/>
              </w:rPr>
            </w:pPr>
            <w:r w:rsidRPr="00D22ECA">
              <w:rPr>
                <w:b/>
                <w:szCs w:val="24"/>
              </w:rPr>
              <w:t>-2</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both"/>
              <w:rPr>
                <w:i/>
                <w:szCs w:val="24"/>
              </w:rPr>
            </w:pPr>
            <w:r w:rsidRPr="00D22ECA">
              <w:rPr>
                <w:i/>
                <w:szCs w:val="24"/>
              </w:rPr>
              <w:t xml:space="preserve">Celý přebytek rozpočtu je určen ke splátce jistiny úvěru z minulých let. Ačkoliv je </w:t>
            </w:r>
            <w:r w:rsidRPr="00D22ECA">
              <w:rPr>
                <w:i/>
                <w:szCs w:val="24"/>
              </w:rPr>
              <w:lastRenderedPageBreak/>
              <w:t xml:space="preserve">rozpočet přebytkový, </w:t>
            </w:r>
            <w:r>
              <w:rPr>
                <w:i/>
                <w:szCs w:val="24"/>
              </w:rPr>
              <w:t>plánuje se, že se stav peněz na účtech v průběhu roku nezmění.</w:t>
            </w:r>
            <w:r w:rsidRPr="00D22ECA">
              <w:rPr>
                <w:i/>
                <w:szCs w:val="24"/>
              </w:rPr>
              <w:t xml:space="preserve"> </w:t>
            </w: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szCs w:val="24"/>
              </w:rPr>
            </w:pPr>
            <w:r w:rsidRPr="00D22ECA">
              <w:rPr>
                <w:szCs w:val="24"/>
              </w:rPr>
              <w:t>Položka 8115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szCs w:val="24"/>
              </w:rPr>
            </w:pPr>
            <w:r w:rsidRPr="00D22ECA">
              <w:rPr>
                <w:szCs w:val="24"/>
              </w:rPr>
              <w:t>0</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D22ECA" w:rsidRDefault="00E0096A" w:rsidP="00A01625">
            <w:pPr>
              <w:spacing w:after="0" w:line="240" w:lineRule="auto"/>
              <w:rPr>
                <w:i/>
                <w:szCs w:val="24"/>
              </w:rPr>
            </w:pPr>
          </w:p>
        </w:tc>
      </w:tr>
      <w:tr w:rsidR="00E0096A" w:rsidRPr="00D22ECA"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rPr>
                <w:szCs w:val="24"/>
              </w:rPr>
            </w:pPr>
            <w:r w:rsidRPr="00D22ECA">
              <w:rPr>
                <w:szCs w:val="24"/>
              </w:rPr>
              <w:lastRenderedPageBreak/>
              <w:t>Položka 8124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D22ECA" w:rsidRDefault="00E0096A" w:rsidP="00A01625">
            <w:pPr>
              <w:spacing w:after="0" w:line="240" w:lineRule="auto"/>
              <w:jc w:val="right"/>
              <w:rPr>
                <w:szCs w:val="24"/>
              </w:rPr>
            </w:pPr>
            <w:r w:rsidRPr="00D22ECA">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D22ECA" w:rsidRDefault="00E0096A" w:rsidP="00A01625">
            <w:pPr>
              <w:spacing w:after="0" w:line="240" w:lineRule="auto"/>
              <w:rPr>
                <w:i/>
                <w:szCs w:val="24"/>
              </w:rPr>
            </w:pPr>
          </w:p>
        </w:tc>
      </w:tr>
    </w:tbl>
    <w:p w:rsidR="00E0096A" w:rsidRDefault="00E0096A" w:rsidP="00E0096A">
      <w:pPr>
        <w:pStyle w:val="Titulek"/>
        <w:keepNext/>
        <w:rPr>
          <w:color w:val="auto"/>
          <w:sz w:val="24"/>
          <w:szCs w:val="24"/>
        </w:rPr>
      </w:pPr>
    </w:p>
    <w:p w:rsidR="00E0096A" w:rsidRPr="00A44682" w:rsidRDefault="00E0096A" w:rsidP="00E0096A">
      <w:pPr>
        <w:pStyle w:val="Titulek"/>
        <w:keepNext/>
        <w:spacing w:after="120"/>
        <w:rPr>
          <w:color w:val="auto"/>
          <w:sz w:val="24"/>
          <w:szCs w:val="24"/>
        </w:rPr>
      </w:pPr>
      <w:r w:rsidRPr="00A44682">
        <w:rPr>
          <w:color w:val="auto"/>
          <w:sz w:val="24"/>
          <w:szCs w:val="24"/>
        </w:rPr>
        <w:t>Příklad – přebytkový rozpočet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992"/>
        <w:gridCol w:w="4252"/>
      </w:tblGrid>
      <w:tr w:rsidR="00E0096A" w:rsidRPr="00344767" w:rsidTr="00A01625">
        <w:trPr>
          <w:trHeight w:val="34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344767" w:rsidRDefault="00E0096A" w:rsidP="00A01625">
            <w:pPr>
              <w:spacing w:after="0" w:line="240" w:lineRule="auto"/>
              <w:jc w:val="center"/>
              <w:rPr>
                <w:b/>
                <w:bCs/>
                <w:szCs w:val="24"/>
              </w:rPr>
            </w:pPr>
            <w:r w:rsidRPr="00344767">
              <w:rPr>
                <w:b/>
                <w:bCs/>
                <w:szCs w:val="24"/>
              </w:rPr>
              <w:t>Popis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344767" w:rsidRDefault="00E0096A" w:rsidP="00A01625">
            <w:pPr>
              <w:spacing w:after="0" w:line="240" w:lineRule="auto"/>
              <w:jc w:val="center"/>
              <w:rPr>
                <w:b/>
                <w:bCs/>
                <w:szCs w:val="24"/>
              </w:rPr>
            </w:pPr>
            <w:r w:rsidRPr="00344767">
              <w:rPr>
                <w:b/>
                <w:bCs/>
                <w:szCs w:val="24"/>
              </w:rPr>
              <w:t>mil. Kč</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E0096A" w:rsidRPr="00344767" w:rsidRDefault="00E0096A" w:rsidP="00A01625">
            <w:pPr>
              <w:spacing w:after="0" w:line="240" w:lineRule="auto"/>
              <w:jc w:val="center"/>
              <w:rPr>
                <w:b/>
                <w:bCs/>
                <w:szCs w:val="24"/>
              </w:rPr>
            </w:pPr>
            <w:r w:rsidRPr="00344767">
              <w:rPr>
                <w:b/>
                <w:bCs/>
                <w:szCs w:val="24"/>
              </w:rPr>
              <w:t>Poznámka</w:t>
            </w:r>
          </w:p>
        </w:tc>
      </w:tr>
      <w:tr w:rsidR="00E0096A" w:rsidRPr="00344767"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bCs/>
                <w:szCs w:val="24"/>
              </w:rPr>
            </w:pPr>
            <w:r w:rsidRPr="00344767">
              <w:rPr>
                <w:bCs/>
                <w:szCs w:val="24"/>
              </w:rPr>
              <w:t>Příjmy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bCs/>
                <w:szCs w:val="24"/>
              </w:rPr>
            </w:pPr>
            <w:r w:rsidRPr="00344767">
              <w:rPr>
                <w:bCs/>
                <w:szCs w:val="24"/>
              </w:rPr>
              <w:t>20</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both"/>
              <w:rPr>
                <w:bCs/>
                <w:i/>
                <w:szCs w:val="24"/>
              </w:rPr>
            </w:pPr>
            <w:r w:rsidRPr="00344767">
              <w:rPr>
                <w:bCs/>
                <w:i/>
                <w:szCs w:val="24"/>
              </w:rPr>
              <w:t xml:space="preserve">Přebytkový rozpočet, přebytek ve výši 0,5. </w:t>
            </w:r>
          </w:p>
        </w:tc>
      </w:tr>
      <w:tr w:rsidR="00E0096A" w:rsidRPr="00344767"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szCs w:val="24"/>
              </w:rPr>
            </w:pPr>
            <w:r w:rsidRPr="00344767">
              <w:rPr>
                <w:szCs w:val="24"/>
              </w:rPr>
              <w:t>Výdaje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szCs w:val="24"/>
              </w:rPr>
            </w:pPr>
            <w:r w:rsidRPr="00344767">
              <w:rPr>
                <w:szCs w:val="24"/>
              </w:rPr>
              <w:t>19,5</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344767" w:rsidRDefault="00E0096A" w:rsidP="00A01625">
            <w:pPr>
              <w:spacing w:after="0" w:line="240" w:lineRule="auto"/>
              <w:rPr>
                <w:bCs/>
                <w:i/>
                <w:szCs w:val="24"/>
              </w:rPr>
            </w:pPr>
          </w:p>
        </w:tc>
      </w:tr>
      <w:tr w:rsidR="00E0096A" w:rsidRPr="00344767" w:rsidTr="00A01625">
        <w:trPr>
          <w:trHeight w:val="340"/>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szCs w:val="24"/>
              </w:rPr>
            </w:pPr>
            <w:r w:rsidRPr="00344767">
              <w:rPr>
                <w:szCs w:val="24"/>
              </w:rPr>
              <w:t>Saldo příjmů a výdajů</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szCs w:val="24"/>
              </w:rPr>
            </w:pPr>
            <w:r w:rsidRPr="00344767">
              <w:rPr>
                <w:szCs w:val="24"/>
              </w:rPr>
              <w:t>0,5</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344767" w:rsidRDefault="00E0096A" w:rsidP="00A01625">
            <w:pPr>
              <w:spacing w:after="0" w:line="240" w:lineRule="auto"/>
              <w:rPr>
                <w:bCs/>
                <w:i/>
                <w:szCs w:val="24"/>
              </w:rPr>
            </w:pPr>
          </w:p>
        </w:tc>
      </w:tr>
      <w:tr w:rsidR="00E0096A" w:rsidRPr="00344767" w:rsidTr="00A01625">
        <w:trPr>
          <w:trHeight w:val="567"/>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b/>
                <w:szCs w:val="24"/>
              </w:rPr>
            </w:pPr>
            <w:r w:rsidRPr="00344767">
              <w:rPr>
                <w:b/>
                <w:szCs w:val="24"/>
              </w:rPr>
              <w:t>Financování celkem</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b/>
                <w:szCs w:val="24"/>
              </w:rPr>
            </w:pPr>
            <w:r w:rsidRPr="00344767">
              <w:rPr>
                <w:b/>
                <w:szCs w:val="24"/>
              </w:rPr>
              <w:t>-0,5</w:t>
            </w:r>
          </w:p>
        </w:tc>
        <w:tc>
          <w:tcPr>
            <w:tcW w:w="4252" w:type="dxa"/>
            <w:vMerge w:val="restart"/>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both"/>
              <w:rPr>
                <w:i/>
                <w:szCs w:val="24"/>
              </w:rPr>
            </w:pPr>
            <w:r w:rsidRPr="00344767">
              <w:rPr>
                <w:i/>
                <w:szCs w:val="24"/>
              </w:rPr>
              <w:t xml:space="preserve">Ačkoliv je rozpočet přebytkový, </w:t>
            </w:r>
            <w:r>
              <w:rPr>
                <w:i/>
                <w:szCs w:val="24"/>
              </w:rPr>
              <w:t>plánuje se, že stav peněz na účtech v průběhu roku poklesne.</w:t>
            </w:r>
            <w:r w:rsidRPr="00344767">
              <w:rPr>
                <w:i/>
                <w:szCs w:val="24"/>
              </w:rPr>
              <w:t xml:space="preserve"> Je to způsobeno tím, že vytvořený přebytek běžného roku nepokryje výši splátky jistiny úvěru čerpaného v minulých letech</w:t>
            </w:r>
            <w:r>
              <w:rPr>
                <w:i/>
                <w:szCs w:val="24"/>
              </w:rPr>
              <w:t xml:space="preserve">, proto jsou zapojeny další zdroje (vlastní prostředky z minulých let). </w:t>
            </w:r>
          </w:p>
        </w:tc>
      </w:tr>
      <w:tr w:rsidR="00E0096A" w:rsidRPr="00344767" w:rsidTr="00A01625">
        <w:trPr>
          <w:trHeight w:val="567"/>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szCs w:val="24"/>
              </w:rPr>
            </w:pPr>
            <w:r w:rsidRPr="00344767">
              <w:rPr>
                <w:szCs w:val="24"/>
              </w:rPr>
              <w:t>Položka 8115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szCs w:val="24"/>
              </w:rPr>
            </w:pPr>
            <w:r w:rsidRPr="00344767">
              <w:rPr>
                <w:szCs w:val="24"/>
              </w:rPr>
              <w:t>1,5</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344767" w:rsidRDefault="00E0096A" w:rsidP="00A01625">
            <w:pPr>
              <w:spacing w:after="0" w:line="240" w:lineRule="auto"/>
              <w:rPr>
                <w:i/>
                <w:szCs w:val="24"/>
              </w:rPr>
            </w:pPr>
          </w:p>
        </w:tc>
      </w:tr>
      <w:tr w:rsidR="00E0096A" w:rsidRPr="00344767" w:rsidTr="00A01625">
        <w:trPr>
          <w:trHeight w:val="567"/>
        </w:trPr>
        <w:tc>
          <w:tcPr>
            <w:tcW w:w="2689"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rPr>
                <w:szCs w:val="24"/>
              </w:rPr>
            </w:pPr>
            <w:r w:rsidRPr="00344767">
              <w:rPr>
                <w:szCs w:val="24"/>
              </w:rPr>
              <w:t>Položka 8124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E0096A" w:rsidRPr="00344767" w:rsidRDefault="00E0096A" w:rsidP="00A01625">
            <w:pPr>
              <w:spacing w:after="0" w:line="240" w:lineRule="auto"/>
              <w:jc w:val="right"/>
              <w:rPr>
                <w:szCs w:val="24"/>
              </w:rPr>
            </w:pPr>
            <w:r w:rsidRPr="00344767">
              <w:rPr>
                <w:szCs w:val="24"/>
              </w:rPr>
              <w:t>-2</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0096A" w:rsidRPr="00344767" w:rsidRDefault="00E0096A" w:rsidP="00A01625">
            <w:pPr>
              <w:spacing w:after="0" w:line="240" w:lineRule="auto"/>
              <w:rPr>
                <w:i/>
                <w:szCs w:val="24"/>
              </w:rPr>
            </w:pPr>
          </w:p>
        </w:tc>
      </w:tr>
    </w:tbl>
    <w:p w:rsidR="00E0096A" w:rsidRDefault="00E0096A" w:rsidP="00E0096A">
      <w:pPr>
        <w:spacing w:after="120"/>
        <w:rPr>
          <w:i/>
        </w:rPr>
      </w:pPr>
    </w:p>
    <w:p w:rsidR="00E0096A" w:rsidRDefault="00E0096A" w:rsidP="00E0096A">
      <w:pPr>
        <w:rPr>
          <w:b/>
        </w:rPr>
      </w:pPr>
    </w:p>
    <w:p w:rsidR="00E0096A" w:rsidRDefault="00E0096A" w:rsidP="00E0096A">
      <w:pPr>
        <w:rPr>
          <w:b/>
        </w:rPr>
      </w:pPr>
    </w:p>
    <w:p w:rsidR="00E0096A" w:rsidRDefault="00E0096A" w:rsidP="00E0096A">
      <w:pPr>
        <w:rPr>
          <w:b/>
        </w:rPr>
      </w:pPr>
    </w:p>
    <w:p w:rsidR="00E0096A" w:rsidRDefault="00E0096A" w:rsidP="00E0096A">
      <w:pPr>
        <w:rPr>
          <w:b/>
        </w:rPr>
      </w:pPr>
    </w:p>
    <w:p w:rsidR="00E0096A" w:rsidRDefault="00E0096A" w:rsidP="00E0096A">
      <w:pPr>
        <w:rPr>
          <w:b/>
        </w:rPr>
      </w:pPr>
    </w:p>
    <w:p w:rsidR="00E0096A" w:rsidRDefault="00E0096A" w:rsidP="00E0096A">
      <w:pPr>
        <w:rPr>
          <w:b/>
        </w:rPr>
      </w:pPr>
    </w:p>
    <w:p w:rsidR="00E0096A" w:rsidRDefault="00E0096A" w:rsidP="00E0096A">
      <w:pPr>
        <w:rPr>
          <w:b/>
        </w:rPr>
      </w:pPr>
      <w:r>
        <w:rPr>
          <w:b/>
        </w:rPr>
        <w:br w:type="page"/>
      </w:r>
    </w:p>
    <w:p w:rsidR="00AC600E" w:rsidRDefault="00AC600E"/>
    <w:sectPr w:rsidR="00AC6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Minion Pro">
    <w:altName w:val="Times New Roman"/>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D90"/>
    <w:multiLevelType w:val="hybridMultilevel"/>
    <w:tmpl w:val="74CEA5E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A8553C5"/>
    <w:multiLevelType w:val="multilevel"/>
    <w:tmpl w:val="00E25A82"/>
    <w:lvl w:ilvl="0">
      <w:start w:val="1"/>
      <w:numFmt w:val="decimal"/>
      <w:lvlText w:val="%1."/>
      <w:lvlJc w:val="left"/>
      <w:pPr>
        <w:ind w:left="720" w:hanging="360"/>
      </w:pPr>
      <w:rPr>
        <w:rFonts w:hint="default"/>
        <w:i w:val="0"/>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5E04375"/>
    <w:multiLevelType w:val="hybridMultilevel"/>
    <w:tmpl w:val="5CD6F36C"/>
    <w:lvl w:ilvl="0" w:tplc="4670B850">
      <w:start w:val="17"/>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5664800"/>
    <w:multiLevelType w:val="multilevel"/>
    <w:tmpl w:val="245C535E"/>
    <w:styleLink w:val="StylSodrkamiWingdingsSymbolPed063cmPedsazen"/>
    <w:lvl w:ilvl="0">
      <w:start w:val="1"/>
      <w:numFmt w:val="bullet"/>
      <w:pStyle w:val="Textodstavce"/>
      <w:lvlText w:val=""/>
      <w:lvlJc w:val="left"/>
      <w:pPr>
        <w:tabs>
          <w:tab w:val="num" w:pos="720"/>
        </w:tabs>
        <w:ind w:left="36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6">
      <w:lvl w:ilvl="6">
        <w:start w:val="1"/>
        <w:numFmt w:val="decimal"/>
        <w:lvlText w:val="(%7)"/>
        <w:lvlJc w:val="left"/>
        <w:pPr>
          <w:tabs>
            <w:tab w:val="num" w:pos="5040"/>
          </w:tabs>
          <w:ind w:left="5040" w:hanging="360"/>
        </w:pPr>
        <w:rPr>
          <w:rFonts w:ascii="Arial" w:eastAsia="Times New Roman" w:hAnsi="Arial" w:cs="Aria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6A"/>
    <w:rsid w:val="00AB33EC"/>
    <w:rsid w:val="00AC600E"/>
    <w:rsid w:val="00E00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96A"/>
    <w:pPr>
      <w:spacing w:after="160" w:line="259" w:lineRule="auto"/>
    </w:pPr>
    <w:rPr>
      <w:rFonts w:ascii="Times New Roman" w:hAnsi="Times New Roman"/>
      <w:sz w:val="24"/>
    </w:rPr>
  </w:style>
  <w:style w:type="paragraph" w:styleId="Nadpis1">
    <w:name w:val="heading 1"/>
    <w:basedOn w:val="Normln"/>
    <w:next w:val="Normln"/>
    <w:link w:val="Nadpis1Char"/>
    <w:uiPriority w:val="9"/>
    <w:qFormat/>
    <w:rsid w:val="00E0096A"/>
    <w:pPr>
      <w:keepNext/>
      <w:keepLines/>
      <w:spacing w:after="0"/>
      <w:outlineLvl w:val="0"/>
    </w:pPr>
    <w:rPr>
      <w:rFonts w:eastAsiaTheme="majorEastAsia" w:cstheme="majorBidi"/>
      <w:b/>
      <w:sz w:val="36"/>
      <w:szCs w:val="32"/>
    </w:rPr>
  </w:style>
  <w:style w:type="paragraph" w:styleId="Nadpis2">
    <w:name w:val="heading 2"/>
    <w:basedOn w:val="Normln"/>
    <w:next w:val="Normln"/>
    <w:link w:val="Nadpis2Char"/>
    <w:uiPriority w:val="9"/>
    <w:unhideWhenUsed/>
    <w:qFormat/>
    <w:rsid w:val="00E0096A"/>
    <w:pPr>
      <w:keepNext/>
      <w:keepLines/>
      <w:spacing w:before="40" w:after="0"/>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E0096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unhideWhenUsed/>
    <w:qFormat/>
    <w:rsid w:val="00E009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096A"/>
    <w:rPr>
      <w:rFonts w:ascii="Times New Roman" w:eastAsiaTheme="majorEastAsia" w:hAnsi="Times New Roman" w:cstheme="majorBidi"/>
      <w:b/>
      <w:sz w:val="36"/>
      <w:szCs w:val="32"/>
    </w:rPr>
  </w:style>
  <w:style w:type="character" w:customStyle="1" w:styleId="Nadpis2Char">
    <w:name w:val="Nadpis 2 Char"/>
    <w:basedOn w:val="Standardnpsmoodstavce"/>
    <w:link w:val="Nadpis2"/>
    <w:uiPriority w:val="9"/>
    <w:rsid w:val="00E0096A"/>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E0096A"/>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E0096A"/>
    <w:rPr>
      <w:rFonts w:asciiTheme="majorHAnsi" w:eastAsiaTheme="majorEastAsia" w:hAnsiTheme="majorHAnsi" w:cstheme="majorBidi"/>
      <w:i/>
      <w:iCs/>
      <w:color w:val="365F91" w:themeColor="accent1" w:themeShade="BF"/>
      <w:sz w:val="24"/>
    </w:rPr>
  </w:style>
  <w:style w:type="paragraph" w:styleId="Odstavecseseznamem">
    <w:name w:val="List Paragraph"/>
    <w:basedOn w:val="Normln"/>
    <w:uiPriority w:val="34"/>
    <w:qFormat/>
    <w:rsid w:val="00E0096A"/>
    <w:pPr>
      <w:ind w:left="720"/>
      <w:contextualSpacing/>
    </w:pPr>
  </w:style>
  <w:style w:type="paragraph" w:styleId="Textpoznpodarou">
    <w:name w:val="footnote text"/>
    <w:basedOn w:val="Normln"/>
    <w:link w:val="TextpoznpodarouChar"/>
    <w:unhideWhenUsed/>
    <w:rsid w:val="00E0096A"/>
    <w:pPr>
      <w:spacing w:after="0" w:line="240" w:lineRule="auto"/>
    </w:pPr>
    <w:rPr>
      <w:rFonts w:ascii="Trebuchet MS" w:hAnsi="Trebuchet MS"/>
      <w:sz w:val="20"/>
      <w:szCs w:val="20"/>
    </w:rPr>
  </w:style>
  <w:style w:type="character" w:customStyle="1" w:styleId="TextpoznpodarouChar">
    <w:name w:val="Text pozn. pod čarou Char"/>
    <w:basedOn w:val="Standardnpsmoodstavce"/>
    <w:link w:val="Textpoznpodarou"/>
    <w:rsid w:val="00E0096A"/>
    <w:rPr>
      <w:rFonts w:ascii="Trebuchet MS" w:hAnsi="Trebuchet MS"/>
      <w:sz w:val="20"/>
      <w:szCs w:val="20"/>
    </w:rPr>
  </w:style>
  <w:style w:type="table" w:styleId="Mkatabulky">
    <w:name w:val="Table Grid"/>
    <w:basedOn w:val="Normlntabulka"/>
    <w:uiPriority w:val="39"/>
    <w:rsid w:val="00E00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E009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096A"/>
    <w:rPr>
      <w:rFonts w:ascii="Times New Roman" w:hAnsi="Times New Roman"/>
      <w:sz w:val="24"/>
    </w:rPr>
  </w:style>
  <w:style w:type="paragraph" w:styleId="Zpat">
    <w:name w:val="footer"/>
    <w:basedOn w:val="Normln"/>
    <w:link w:val="ZpatChar"/>
    <w:uiPriority w:val="99"/>
    <w:unhideWhenUsed/>
    <w:rsid w:val="00E009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0096A"/>
    <w:rPr>
      <w:rFonts w:ascii="Times New Roman" w:hAnsi="Times New Roman"/>
      <w:sz w:val="24"/>
    </w:rPr>
  </w:style>
  <w:style w:type="paragraph" w:styleId="Nadpisobsahu">
    <w:name w:val="TOC Heading"/>
    <w:basedOn w:val="Nadpis1"/>
    <w:next w:val="Normln"/>
    <w:uiPriority w:val="39"/>
    <w:unhideWhenUsed/>
    <w:qFormat/>
    <w:rsid w:val="00E0096A"/>
    <w:pPr>
      <w:outlineLvl w:val="9"/>
    </w:pPr>
    <w:rPr>
      <w:rFonts w:asciiTheme="majorHAnsi" w:hAnsiTheme="majorHAnsi"/>
      <w:b w:val="0"/>
      <w:color w:val="365F91" w:themeColor="accent1" w:themeShade="BF"/>
      <w:lang w:eastAsia="cs-CZ"/>
    </w:rPr>
  </w:style>
  <w:style w:type="paragraph" w:styleId="Obsah1">
    <w:name w:val="toc 1"/>
    <w:basedOn w:val="Normln"/>
    <w:next w:val="Normln"/>
    <w:autoRedefine/>
    <w:uiPriority w:val="39"/>
    <w:unhideWhenUsed/>
    <w:rsid w:val="00E0096A"/>
    <w:pPr>
      <w:tabs>
        <w:tab w:val="left" w:pos="480"/>
        <w:tab w:val="right" w:leader="dot" w:pos="7926"/>
      </w:tabs>
      <w:spacing w:after="100"/>
    </w:pPr>
    <w:rPr>
      <w:b/>
      <w:noProof/>
    </w:rPr>
  </w:style>
  <w:style w:type="character" w:styleId="Hypertextovodkaz">
    <w:name w:val="Hyperlink"/>
    <w:basedOn w:val="Standardnpsmoodstavce"/>
    <w:uiPriority w:val="99"/>
    <w:unhideWhenUsed/>
    <w:rsid w:val="00E0096A"/>
    <w:rPr>
      <w:color w:val="0000FF" w:themeColor="hyperlink"/>
      <w:u w:val="single"/>
    </w:rPr>
  </w:style>
  <w:style w:type="paragraph" w:styleId="Titulek">
    <w:name w:val="caption"/>
    <w:basedOn w:val="Normln"/>
    <w:next w:val="Normln"/>
    <w:uiPriority w:val="35"/>
    <w:unhideWhenUsed/>
    <w:qFormat/>
    <w:rsid w:val="00E0096A"/>
    <w:pPr>
      <w:spacing w:after="200" w:line="240" w:lineRule="auto"/>
    </w:pPr>
    <w:rPr>
      <w:i/>
      <w:iCs/>
      <w:color w:val="1F497D" w:themeColor="text2"/>
      <w:sz w:val="18"/>
      <w:szCs w:val="18"/>
    </w:rPr>
  </w:style>
  <w:style w:type="character" w:styleId="Znakapoznpodarou">
    <w:name w:val="footnote reference"/>
    <w:basedOn w:val="Standardnpsmoodstavce"/>
    <w:semiHidden/>
    <w:unhideWhenUsed/>
    <w:rsid w:val="00E0096A"/>
    <w:rPr>
      <w:vertAlign w:val="superscript"/>
    </w:rPr>
  </w:style>
  <w:style w:type="paragraph" w:customStyle="1" w:styleId="Textlnku">
    <w:name w:val="Text článku"/>
    <w:basedOn w:val="Normln"/>
    <w:link w:val="TextlnkuChar"/>
    <w:rsid w:val="00E0096A"/>
    <w:pPr>
      <w:spacing w:before="240" w:after="0" w:line="240" w:lineRule="auto"/>
      <w:ind w:firstLine="425"/>
      <w:jc w:val="both"/>
      <w:outlineLvl w:val="5"/>
    </w:pPr>
    <w:rPr>
      <w:rFonts w:eastAsia="Times New Roman" w:cs="Times New Roman"/>
      <w:szCs w:val="20"/>
    </w:rPr>
  </w:style>
  <w:style w:type="character" w:customStyle="1" w:styleId="TextlnkuChar">
    <w:name w:val="Text článku Char"/>
    <w:link w:val="Textlnku"/>
    <w:rsid w:val="00E0096A"/>
    <w:rPr>
      <w:rFonts w:ascii="Times New Roman" w:eastAsia="Times New Roman" w:hAnsi="Times New Roman" w:cs="Times New Roman"/>
      <w:sz w:val="24"/>
      <w:szCs w:val="20"/>
    </w:rPr>
  </w:style>
  <w:style w:type="character" w:styleId="Siln">
    <w:name w:val="Strong"/>
    <w:basedOn w:val="Standardnpsmoodstavce"/>
    <w:qFormat/>
    <w:rsid w:val="00E0096A"/>
    <w:rPr>
      <w:b/>
      <w:bCs/>
    </w:rPr>
  </w:style>
  <w:style w:type="paragraph" w:styleId="Obsah2">
    <w:name w:val="toc 2"/>
    <w:basedOn w:val="Normln"/>
    <w:next w:val="Normln"/>
    <w:autoRedefine/>
    <w:uiPriority w:val="39"/>
    <w:unhideWhenUsed/>
    <w:rsid w:val="00E0096A"/>
    <w:pPr>
      <w:tabs>
        <w:tab w:val="left" w:pos="851"/>
        <w:tab w:val="right" w:leader="dot" w:pos="7926"/>
      </w:tabs>
      <w:spacing w:after="100"/>
      <w:ind w:left="240"/>
    </w:pPr>
    <w:rPr>
      <w:noProof/>
    </w:rPr>
  </w:style>
  <w:style w:type="paragraph" w:customStyle="1" w:styleId="l5">
    <w:name w:val="l5"/>
    <w:basedOn w:val="Normln"/>
    <w:rsid w:val="00E0096A"/>
    <w:pPr>
      <w:spacing w:before="100" w:beforeAutospacing="1" w:after="100" w:afterAutospacing="1" w:line="240" w:lineRule="auto"/>
    </w:pPr>
    <w:rPr>
      <w:rFonts w:eastAsia="Times New Roman" w:cs="Times New Roman"/>
      <w:szCs w:val="24"/>
      <w:lang w:eastAsia="cs-CZ"/>
    </w:rPr>
  </w:style>
  <w:style w:type="character" w:styleId="PromnnHTML">
    <w:name w:val="HTML Variable"/>
    <w:basedOn w:val="Standardnpsmoodstavce"/>
    <w:uiPriority w:val="99"/>
    <w:semiHidden/>
    <w:unhideWhenUsed/>
    <w:rsid w:val="00E0096A"/>
    <w:rPr>
      <w:i/>
      <w:iCs/>
    </w:rPr>
  </w:style>
  <w:style w:type="paragraph" w:customStyle="1" w:styleId="l6">
    <w:name w:val="l6"/>
    <w:basedOn w:val="Normln"/>
    <w:rsid w:val="00E0096A"/>
    <w:pPr>
      <w:spacing w:before="100" w:beforeAutospacing="1" w:after="100" w:afterAutospacing="1" w:line="240" w:lineRule="auto"/>
    </w:pPr>
    <w:rPr>
      <w:rFonts w:eastAsia="Times New Roman" w:cs="Times New Roman"/>
      <w:szCs w:val="24"/>
      <w:lang w:eastAsia="cs-CZ"/>
    </w:rPr>
  </w:style>
  <w:style w:type="paragraph" w:styleId="Obsah3">
    <w:name w:val="toc 3"/>
    <w:basedOn w:val="Normln"/>
    <w:next w:val="Normln"/>
    <w:autoRedefine/>
    <w:uiPriority w:val="39"/>
    <w:unhideWhenUsed/>
    <w:rsid w:val="00E0096A"/>
    <w:pPr>
      <w:tabs>
        <w:tab w:val="left" w:pos="1276"/>
        <w:tab w:val="right" w:leader="dot" w:pos="9062"/>
      </w:tabs>
      <w:spacing w:after="100"/>
      <w:ind w:left="480"/>
    </w:pPr>
    <w:rPr>
      <w:rFonts w:cs="Times New Roman"/>
      <w:b/>
      <w:i/>
      <w:noProof/>
    </w:rPr>
  </w:style>
  <w:style w:type="paragraph" w:styleId="Normlnweb">
    <w:name w:val="Normal (Web)"/>
    <w:basedOn w:val="Normln"/>
    <w:uiPriority w:val="99"/>
    <w:semiHidden/>
    <w:unhideWhenUsed/>
    <w:rsid w:val="00E0096A"/>
    <w:pPr>
      <w:spacing w:before="100" w:beforeAutospacing="1" w:after="100" w:afterAutospacing="1" w:line="240" w:lineRule="auto"/>
    </w:pPr>
    <w:rPr>
      <w:rFonts w:eastAsia="Times New Roman" w:cs="Times New Roman"/>
      <w:szCs w:val="24"/>
      <w:lang w:eastAsia="cs-CZ"/>
    </w:rPr>
  </w:style>
  <w:style w:type="character" w:styleId="Zvraznn">
    <w:name w:val="Emphasis"/>
    <w:aliases w:val="Normal"/>
    <w:basedOn w:val="Standardnpsmoodstavce"/>
    <w:uiPriority w:val="20"/>
    <w:qFormat/>
    <w:rsid w:val="00E0096A"/>
    <w:rPr>
      <w:i/>
      <w:iCs/>
    </w:rPr>
  </w:style>
  <w:style w:type="character" w:customStyle="1" w:styleId="UnresolvedMention">
    <w:name w:val="Unresolved Mention"/>
    <w:basedOn w:val="Standardnpsmoodstavce"/>
    <w:uiPriority w:val="99"/>
    <w:semiHidden/>
    <w:unhideWhenUsed/>
    <w:rsid w:val="00E0096A"/>
    <w:rPr>
      <w:color w:val="605E5C"/>
      <w:shd w:val="clear" w:color="auto" w:fill="E1DFDD"/>
    </w:rPr>
  </w:style>
  <w:style w:type="paragraph" w:customStyle="1" w:styleId="l2">
    <w:name w:val="l2"/>
    <w:basedOn w:val="Normln"/>
    <w:rsid w:val="00E0096A"/>
    <w:pPr>
      <w:spacing w:before="100" w:beforeAutospacing="1" w:after="100" w:afterAutospacing="1" w:line="240" w:lineRule="auto"/>
    </w:pPr>
    <w:rPr>
      <w:rFonts w:eastAsia="Times New Roman" w:cs="Times New Roman"/>
      <w:szCs w:val="24"/>
      <w:lang w:eastAsia="cs-CZ"/>
    </w:rPr>
  </w:style>
  <w:style w:type="paragraph" w:customStyle="1" w:styleId="l3">
    <w:name w:val="l3"/>
    <w:basedOn w:val="Normln"/>
    <w:rsid w:val="00E0096A"/>
    <w:pPr>
      <w:spacing w:before="100" w:beforeAutospacing="1" w:after="100" w:afterAutospacing="1" w:line="240" w:lineRule="auto"/>
    </w:pPr>
    <w:rPr>
      <w:rFonts w:eastAsia="Times New Roman" w:cs="Times New Roman"/>
      <w:szCs w:val="24"/>
      <w:lang w:eastAsia="cs-CZ"/>
    </w:rPr>
  </w:style>
  <w:style w:type="paragraph" w:customStyle="1" w:styleId="l4">
    <w:name w:val="l4"/>
    <w:basedOn w:val="Normln"/>
    <w:rsid w:val="00E0096A"/>
    <w:pPr>
      <w:spacing w:before="100" w:beforeAutospacing="1" w:after="100" w:afterAutospacing="1" w:line="240" w:lineRule="auto"/>
    </w:pPr>
    <w:rPr>
      <w:rFonts w:eastAsia="Times New Roman" w:cs="Times New Roman"/>
      <w:szCs w:val="24"/>
      <w:lang w:eastAsia="cs-CZ"/>
    </w:rPr>
  </w:style>
  <w:style w:type="paragraph" w:styleId="Textbubliny">
    <w:name w:val="Balloon Text"/>
    <w:basedOn w:val="Normln"/>
    <w:link w:val="TextbublinyChar"/>
    <w:uiPriority w:val="99"/>
    <w:semiHidden/>
    <w:unhideWhenUsed/>
    <w:rsid w:val="00E009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096A"/>
    <w:rPr>
      <w:rFonts w:ascii="Segoe UI" w:hAnsi="Segoe UI" w:cs="Segoe UI"/>
      <w:sz w:val="18"/>
      <w:szCs w:val="18"/>
    </w:rPr>
  </w:style>
  <w:style w:type="paragraph" w:styleId="Zkladntext">
    <w:name w:val="Body Text"/>
    <w:basedOn w:val="Normln"/>
    <w:link w:val="ZkladntextChar"/>
    <w:unhideWhenUsed/>
    <w:rsid w:val="00E0096A"/>
    <w:pPr>
      <w:spacing w:after="0" w:line="240" w:lineRule="auto"/>
      <w:jc w:val="both"/>
    </w:pPr>
    <w:rPr>
      <w:rFonts w:eastAsia="Times New Roman" w:cs="Times New Roman"/>
      <w:szCs w:val="24"/>
      <w:lang w:eastAsia="cs-CZ"/>
    </w:rPr>
  </w:style>
  <w:style w:type="character" w:customStyle="1" w:styleId="ZkladntextChar">
    <w:name w:val="Základní text Char"/>
    <w:basedOn w:val="Standardnpsmoodstavce"/>
    <w:link w:val="Zkladntext"/>
    <w:rsid w:val="00E0096A"/>
    <w:rPr>
      <w:rFonts w:ascii="Times New Roman" w:eastAsia="Times New Roman" w:hAnsi="Times New Roman" w:cs="Times New Roman"/>
      <w:sz w:val="24"/>
      <w:szCs w:val="24"/>
      <w:lang w:eastAsia="cs-CZ"/>
    </w:rPr>
  </w:style>
  <w:style w:type="paragraph" w:customStyle="1" w:styleId="Pa22">
    <w:name w:val="Pa22"/>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character" w:styleId="Sledovanodkaz">
    <w:name w:val="FollowedHyperlink"/>
    <w:basedOn w:val="Standardnpsmoodstavce"/>
    <w:uiPriority w:val="99"/>
    <w:semiHidden/>
    <w:unhideWhenUsed/>
    <w:rsid w:val="00E0096A"/>
    <w:rPr>
      <w:color w:val="800080" w:themeColor="followedHyperlink"/>
      <w:u w:val="single"/>
    </w:rPr>
  </w:style>
  <w:style w:type="paragraph" w:customStyle="1" w:styleId="Pa8">
    <w:name w:val="Pa8"/>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numbering" w:customStyle="1" w:styleId="StylSodrkamiWingdingsSymbolPed063cmPedsazen">
    <w:name w:val="Styl S odrážkami Wingdings (Symbol) Před:  063 cm Předsazení: ..."/>
    <w:rsid w:val="00E0096A"/>
    <w:pPr>
      <w:numPr>
        <w:numId w:val="4"/>
      </w:numPr>
    </w:pPr>
  </w:style>
  <w:style w:type="paragraph" w:customStyle="1" w:styleId="Textodstavce">
    <w:name w:val="Text odstavce"/>
    <w:basedOn w:val="Normln"/>
    <w:link w:val="TextodstavceChar"/>
    <w:rsid w:val="00E0096A"/>
    <w:pPr>
      <w:numPr>
        <w:numId w:val="4"/>
      </w:numPr>
      <w:tabs>
        <w:tab w:val="left" w:pos="851"/>
      </w:tabs>
      <w:spacing w:before="120" w:after="120" w:line="240" w:lineRule="auto"/>
      <w:jc w:val="both"/>
      <w:outlineLvl w:val="6"/>
    </w:pPr>
    <w:rPr>
      <w:rFonts w:eastAsia="Times New Roman" w:cs="Times New Roman"/>
      <w:szCs w:val="20"/>
      <w:lang w:eastAsia="cs-CZ"/>
    </w:rPr>
  </w:style>
  <w:style w:type="character" w:customStyle="1" w:styleId="TextodstavceChar">
    <w:name w:val="Text odstavce Char"/>
    <w:link w:val="Textodstavce"/>
    <w:rsid w:val="00E0096A"/>
    <w:rPr>
      <w:rFonts w:ascii="Times New Roman" w:eastAsia="Times New Roman" w:hAnsi="Times New Roman" w:cs="Times New Roman"/>
      <w:sz w:val="24"/>
      <w:szCs w:val="20"/>
      <w:lang w:eastAsia="cs-CZ"/>
    </w:rPr>
  </w:style>
  <w:style w:type="paragraph" w:customStyle="1" w:styleId="Paragraf">
    <w:name w:val="Paragraf"/>
    <w:basedOn w:val="Normln"/>
    <w:link w:val="ParagrafChar"/>
    <w:rsid w:val="00E0096A"/>
    <w:pPr>
      <w:keepNext/>
      <w:widowControl w:val="0"/>
      <w:suppressAutoHyphens/>
      <w:autoSpaceDN w:val="0"/>
      <w:spacing w:before="238" w:after="0" w:line="240" w:lineRule="auto"/>
      <w:jc w:val="center"/>
      <w:textAlignment w:val="baseline"/>
    </w:pPr>
    <w:rPr>
      <w:rFonts w:eastAsia="Arial Unicode MS" w:cs="Mangal"/>
      <w:kern w:val="3"/>
      <w:szCs w:val="24"/>
      <w:lang w:eastAsia="zh-CN" w:bidi="hi-IN"/>
    </w:rPr>
  </w:style>
  <w:style w:type="character" w:customStyle="1" w:styleId="ParagrafChar">
    <w:name w:val="Paragraf Char"/>
    <w:link w:val="Paragraf"/>
    <w:locked/>
    <w:rsid w:val="00E0096A"/>
    <w:rPr>
      <w:rFonts w:ascii="Times New Roman" w:eastAsia="Arial Unicode MS" w:hAnsi="Times New Roman" w:cs="Mangal"/>
      <w:kern w:val="3"/>
      <w:sz w:val="24"/>
      <w:szCs w:val="24"/>
      <w:lang w:eastAsia="zh-CN" w:bidi="hi-IN"/>
    </w:rPr>
  </w:style>
  <w:style w:type="paragraph" w:customStyle="1" w:styleId="Nadpisparagrafu">
    <w:name w:val="Nadpis paragrafu"/>
    <w:basedOn w:val="Paragraf"/>
    <w:next w:val="Textodstavce"/>
    <w:rsid w:val="00E0096A"/>
    <w:pPr>
      <w:keepLines/>
      <w:widowControl/>
      <w:suppressAutoHyphens w:val="0"/>
      <w:autoSpaceDN/>
      <w:spacing w:before="240"/>
      <w:textAlignment w:val="auto"/>
      <w:outlineLvl w:val="5"/>
    </w:pPr>
    <w:rPr>
      <w:rFonts w:eastAsia="Times New Roman" w:cs="Times New Roman"/>
      <w:b/>
      <w:kern w:val="0"/>
      <w:szCs w:val="20"/>
      <w:lang w:eastAsia="cs-CZ" w:bidi="ar-SA"/>
    </w:rPr>
  </w:style>
  <w:style w:type="paragraph" w:customStyle="1" w:styleId="Textpsmene">
    <w:name w:val="Text písmene"/>
    <w:basedOn w:val="Normln"/>
    <w:link w:val="TextpsmeneChar"/>
    <w:rsid w:val="00E0096A"/>
    <w:pPr>
      <w:widowControl w:val="0"/>
      <w:suppressAutoHyphens/>
      <w:autoSpaceDN w:val="0"/>
      <w:spacing w:after="0" w:line="240" w:lineRule="auto"/>
      <w:ind w:left="425" w:hanging="425"/>
      <w:jc w:val="both"/>
      <w:textAlignment w:val="baseline"/>
    </w:pPr>
    <w:rPr>
      <w:rFonts w:eastAsia="Arial Unicode MS" w:cs="Mangal"/>
      <w:kern w:val="3"/>
      <w:szCs w:val="24"/>
      <w:lang w:eastAsia="zh-CN" w:bidi="hi-IN"/>
    </w:rPr>
  </w:style>
  <w:style w:type="character" w:customStyle="1" w:styleId="TextpsmeneChar">
    <w:name w:val="Text písmene Char"/>
    <w:link w:val="Textpsmene"/>
    <w:locked/>
    <w:rsid w:val="00E0096A"/>
    <w:rPr>
      <w:rFonts w:ascii="Times New Roman" w:eastAsia="Arial Unicode MS" w:hAnsi="Times New Roman" w:cs="Mangal"/>
      <w:kern w:val="3"/>
      <w:sz w:val="24"/>
      <w:szCs w:val="24"/>
      <w:lang w:eastAsia="zh-CN" w:bidi="hi-IN"/>
    </w:rPr>
  </w:style>
  <w:style w:type="paragraph" w:styleId="Bezmezer">
    <w:name w:val="No Spacing"/>
    <w:aliases w:val="NADPIS 2"/>
    <w:autoRedefine/>
    <w:uiPriority w:val="1"/>
    <w:qFormat/>
    <w:rsid w:val="00E0096A"/>
    <w:pPr>
      <w:suppressAutoHyphens/>
      <w:autoSpaceDN w:val="0"/>
      <w:spacing w:before="160" w:after="120" w:line="240" w:lineRule="auto"/>
      <w:jc w:val="center"/>
      <w:textAlignment w:val="baseline"/>
    </w:pPr>
    <w:rPr>
      <w:rFonts w:ascii="Times New Roman" w:eastAsia="Times New Roman" w:hAnsi="Times New Roman" w:cs="Times New Roman"/>
      <w:b/>
      <w:smallCaps/>
      <w:sz w:val="28"/>
      <w:szCs w:val="28"/>
      <w:lang w:eastAsia="cs-CZ"/>
    </w:rPr>
  </w:style>
  <w:style w:type="paragraph" w:customStyle="1" w:styleId="Pa4">
    <w:name w:val="Pa4"/>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paragraph" w:customStyle="1" w:styleId="Default">
    <w:name w:val="Default"/>
    <w:rsid w:val="00E0096A"/>
    <w:pPr>
      <w:widowControl w:val="0"/>
      <w:autoSpaceDE w:val="0"/>
      <w:autoSpaceDN w:val="0"/>
      <w:adjustRightInd w:val="0"/>
      <w:spacing w:after="0" w:line="240" w:lineRule="auto"/>
    </w:pPr>
    <w:rPr>
      <w:rFonts w:ascii="Minion Pro" w:eastAsiaTheme="minorEastAsia" w:hAnsi="Minion Pro" w:cs="Minion Pro"/>
      <w:color w:val="000000"/>
      <w:sz w:val="24"/>
      <w:szCs w:val="24"/>
      <w:lang w:eastAsia="cs-CZ"/>
    </w:rPr>
  </w:style>
  <w:style w:type="paragraph" w:customStyle="1" w:styleId="Pa13">
    <w:name w:val="Pa13"/>
    <w:basedOn w:val="Default"/>
    <w:next w:val="Default"/>
    <w:uiPriority w:val="99"/>
    <w:rsid w:val="00E0096A"/>
    <w:pPr>
      <w:spacing w:line="221" w:lineRule="atLeast"/>
    </w:pPr>
    <w:rPr>
      <w:rFonts w:cstheme="minorBidi"/>
      <w:color w:val="auto"/>
    </w:rPr>
  </w:style>
  <w:style w:type="paragraph" w:styleId="Nzev">
    <w:name w:val="Title"/>
    <w:aliases w:val="NADPIS 1"/>
    <w:basedOn w:val="Normln"/>
    <w:next w:val="Normln"/>
    <w:link w:val="NzevChar"/>
    <w:autoRedefine/>
    <w:qFormat/>
    <w:rsid w:val="00E0096A"/>
    <w:pPr>
      <w:suppressAutoHyphens/>
      <w:autoSpaceDN w:val="0"/>
      <w:spacing w:after="300" w:line="240" w:lineRule="auto"/>
      <w:contextualSpacing/>
      <w:jc w:val="center"/>
      <w:textAlignment w:val="baseline"/>
    </w:pPr>
    <w:rPr>
      <w:rFonts w:eastAsia="Times New Roman" w:cs="Times New Roman"/>
      <w:b/>
      <w:i/>
      <w:color w:val="17365D"/>
      <w:spacing w:val="5"/>
      <w:kern w:val="28"/>
      <w:sz w:val="32"/>
      <w:szCs w:val="52"/>
      <w:u w:val="single"/>
      <w:lang w:eastAsia="cs-CZ"/>
    </w:rPr>
  </w:style>
  <w:style w:type="character" w:customStyle="1" w:styleId="NzevChar">
    <w:name w:val="Název Char"/>
    <w:aliases w:val="NADPIS 1 Char"/>
    <w:basedOn w:val="Standardnpsmoodstavce"/>
    <w:link w:val="Nzev"/>
    <w:rsid w:val="00E0096A"/>
    <w:rPr>
      <w:rFonts w:ascii="Times New Roman" w:eastAsia="Times New Roman" w:hAnsi="Times New Roman" w:cs="Times New Roman"/>
      <w:b/>
      <w:i/>
      <w:color w:val="17365D"/>
      <w:spacing w:val="5"/>
      <w:kern w:val="28"/>
      <w:sz w:val="32"/>
      <w:szCs w:val="52"/>
      <w:u w:val="single"/>
      <w:lang w:eastAsia="cs-CZ"/>
    </w:rPr>
  </w:style>
  <w:style w:type="paragraph" w:customStyle="1" w:styleId="l1">
    <w:name w:val="l1"/>
    <w:basedOn w:val="Normln"/>
    <w:rsid w:val="00E0096A"/>
    <w:pPr>
      <w:spacing w:before="100" w:beforeAutospacing="1" w:after="100" w:afterAutospacing="1" w:line="240" w:lineRule="auto"/>
    </w:pPr>
    <w:rPr>
      <w:rFonts w:eastAsia="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096A"/>
    <w:pPr>
      <w:spacing w:after="160" w:line="259" w:lineRule="auto"/>
    </w:pPr>
    <w:rPr>
      <w:rFonts w:ascii="Times New Roman" w:hAnsi="Times New Roman"/>
      <w:sz w:val="24"/>
    </w:rPr>
  </w:style>
  <w:style w:type="paragraph" w:styleId="Nadpis1">
    <w:name w:val="heading 1"/>
    <w:basedOn w:val="Normln"/>
    <w:next w:val="Normln"/>
    <w:link w:val="Nadpis1Char"/>
    <w:uiPriority w:val="9"/>
    <w:qFormat/>
    <w:rsid w:val="00E0096A"/>
    <w:pPr>
      <w:keepNext/>
      <w:keepLines/>
      <w:spacing w:after="0"/>
      <w:outlineLvl w:val="0"/>
    </w:pPr>
    <w:rPr>
      <w:rFonts w:eastAsiaTheme="majorEastAsia" w:cstheme="majorBidi"/>
      <w:b/>
      <w:sz w:val="36"/>
      <w:szCs w:val="32"/>
    </w:rPr>
  </w:style>
  <w:style w:type="paragraph" w:styleId="Nadpis2">
    <w:name w:val="heading 2"/>
    <w:basedOn w:val="Normln"/>
    <w:next w:val="Normln"/>
    <w:link w:val="Nadpis2Char"/>
    <w:uiPriority w:val="9"/>
    <w:unhideWhenUsed/>
    <w:qFormat/>
    <w:rsid w:val="00E0096A"/>
    <w:pPr>
      <w:keepNext/>
      <w:keepLines/>
      <w:spacing w:before="40" w:after="0"/>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E0096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uiPriority w:val="9"/>
    <w:unhideWhenUsed/>
    <w:qFormat/>
    <w:rsid w:val="00E009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096A"/>
    <w:rPr>
      <w:rFonts w:ascii="Times New Roman" w:eastAsiaTheme="majorEastAsia" w:hAnsi="Times New Roman" w:cstheme="majorBidi"/>
      <w:b/>
      <w:sz w:val="36"/>
      <w:szCs w:val="32"/>
    </w:rPr>
  </w:style>
  <w:style w:type="character" w:customStyle="1" w:styleId="Nadpis2Char">
    <w:name w:val="Nadpis 2 Char"/>
    <w:basedOn w:val="Standardnpsmoodstavce"/>
    <w:link w:val="Nadpis2"/>
    <w:uiPriority w:val="9"/>
    <w:rsid w:val="00E0096A"/>
    <w:rPr>
      <w:rFonts w:ascii="Times New Roman" w:eastAsiaTheme="majorEastAsia" w:hAnsi="Times New Roman" w:cstheme="majorBidi"/>
      <w:b/>
      <w:sz w:val="32"/>
      <w:szCs w:val="26"/>
    </w:rPr>
  </w:style>
  <w:style w:type="character" w:customStyle="1" w:styleId="Nadpis3Char">
    <w:name w:val="Nadpis 3 Char"/>
    <w:basedOn w:val="Standardnpsmoodstavce"/>
    <w:link w:val="Nadpis3"/>
    <w:uiPriority w:val="9"/>
    <w:rsid w:val="00E0096A"/>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rsid w:val="00E0096A"/>
    <w:rPr>
      <w:rFonts w:asciiTheme="majorHAnsi" w:eastAsiaTheme="majorEastAsia" w:hAnsiTheme="majorHAnsi" w:cstheme="majorBidi"/>
      <w:i/>
      <w:iCs/>
      <w:color w:val="365F91" w:themeColor="accent1" w:themeShade="BF"/>
      <w:sz w:val="24"/>
    </w:rPr>
  </w:style>
  <w:style w:type="paragraph" w:styleId="Odstavecseseznamem">
    <w:name w:val="List Paragraph"/>
    <w:basedOn w:val="Normln"/>
    <w:uiPriority w:val="34"/>
    <w:qFormat/>
    <w:rsid w:val="00E0096A"/>
    <w:pPr>
      <w:ind w:left="720"/>
      <w:contextualSpacing/>
    </w:pPr>
  </w:style>
  <w:style w:type="paragraph" w:styleId="Textpoznpodarou">
    <w:name w:val="footnote text"/>
    <w:basedOn w:val="Normln"/>
    <w:link w:val="TextpoznpodarouChar"/>
    <w:unhideWhenUsed/>
    <w:rsid w:val="00E0096A"/>
    <w:pPr>
      <w:spacing w:after="0" w:line="240" w:lineRule="auto"/>
    </w:pPr>
    <w:rPr>
      <w:rFonts w:ascii="Trebuchet MS" w:hAnsi="Trebuchet MS"/>
      <w:sz w:val="20"/>
      <w:szCs w:val="20"/>
    </w:rPr>
  </w:style>
  <w:style w:type="character" w:customStyle="1" w:styleId="TextpoznpodarouChar">
    <w:name w:val="Text pozn. pod čarou Char"/>
    <w:basedOn w:val="Standardnpsmoodstavce"/>
    <w:link w:val="Textpoznpodarou"/>
    <w:rsid w:val="00E0096A"/>
    <w:rPr>
      <w:rFonts w:ascii="Trebuchet MS" w:hAnsi="Trebuchet MS"/>
      <w:sz w:val="20"/>
      <w:szCs w:val="20"/>
    </w:rPr>
  </w:style>
  <w:style w:type="table" w:styleId="Mkatabulky">
    <w:name w:val="Table Grid"/>
    <w:basedOn w:val="Normlntabulka"/>
    <w:uiPriority w:val="39"/>
    <w:rsid w:val="00E00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E009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096A"/>
    <w:rPr>
      <w:rFonts w:ascii="Times New Roman" w:hAnsi="Times New Roman"/>
      <w:sz w:val="24"/>
    </w:rPr>
  </w:style>
  <w:style w:type="paragraph" w:styleId="Zpat">
    <w:name w:val="footer"/>
    <w:basedOn w:val="Normln"/>
    <w:link w:val="ZpatChar"/>
    <w:uiPriority w:val="99"/>
    <w:unhideWhenUsed/>
    <w:rsid w:val="00E009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0096A"/>
    <w:rPr>
      <w:rFonts w:ascii="Times New Roman" w:hAnsi="Times New Roman"/>
      <w:sz w:val="24"/>
    </w:rPr>
  </w:style>
  <w:style w:type="paragraph" w:styleId="Nadpisobsahu">
    <w:name w:val="TOC Heading"/>
    <w:basedOn w:val="Nadpis1"/>
    <w:next w:val="Normln"/>
    <w:uiPriority w:val="39"/>
    <w:unhideWhenUsed/>
    <w:qFormat/>
    <w:rsid w:val="00E0096A"/>
    <w:pPr>
      <w:outlineLvl w:val="9"/>
    </w:pPr>
    <w:rPr>
      <w:rFonts w:asciiTheme="majorHAnsi" w:hAnsiTheme="majorHAnsi"/>
      <w:b w:val="0"/>
      <w:color w:val="365F91" w:themeColor="accent1" w:themeShade="BF"/>
      <w:lang w:eastAsia="cs-CZ"/>
    </w:rPr>
  </w:style>
  <w:style w:type="paragraph" w:styleId="Obsah1">
    <w:name w:val="toc 1"/>
    <w:basedOn w:val="Normln"/>
    <w:next w:val="Normln"/>
    <w:autoRedefine/>
    <w:uiPriority w:val="39"/>
    <w:unhideWhenUsed/>
    <w:rsid w:val="00E0096A"/>
    <w:pPr>
      <w:tabs>
        <w:tab w:val="left" w:pos="480"/>
        <w:tab w:val="right" w:leader="dot" w:pos="7926"/>
      </w:tabs>
      <w:spacing w:after="100"/>
    </w:pPr>
    <w:rPr>
      <w:b/>
      <w:noProof/>
    </w:rPr>
  </w:style>
  <w:style w:type="character" w:styleId="Hypertextovodkaz">
    <w:name w:val="Hyperlink"/>
    <w:basedOn w:val="Standardnpsmoodstavce"/>
    <w:uiPriority w:val="99"/>
    <w:unhideWhenUsed/>
    <w:rsid w:val="00E0096A"/>
    <w:rPr>
      <w:color w:val="0000FF" w:themeColor="hyperlink"/>
      <w:u w:val="single"/>
    </w:rPr>
  </w:style>
  <w:style w:type="paragraph" w:styleId="Titulek">
    <w:name w:val="caption"/>
    <w:basedOn w:val="Normln"/>
    <w:next w:val="Normln"/>
    <w:uiPriority w:val="35"/>
    <w:unhideWhenUsed/>
    <w:qFormat/>
    <w:rsid w:val="00E0096A"/>
    <w:pPr>
      <w:spacing w:after="200" w:line="240" w:lineRule="auto"/>
    </w:pPr>
    <w:rPr>
      <w:i/>
      <w:iCs/>
      <w:color w:val="1F497D" w:themeColor="text2"/>
      <w:sz w:val="18"/>
      <w:szCs w:val="18"/>
    </w:rPr>
  </w:style>
  <w:style w:type="character" w:styleId="Znakapoznpodarou">
    <w:name w:val="footnote reference"/>
    <w:basedOn w:val="Standardnpsmoodstavce"/>
    <w:semiHidden/>
    <w:unhideWhenUsed/>
    <w:rsid w:val="00E0096A"/>
    <w:rPr>
      <w:vertAlign w:val="superscript"/>
    </w:rPr>
  </w:style>
  <w:style w:type="paragraph" w:customStyle="1" w:styleId="Textlnku">
    <w:name w:val="Text článku"/>
    <w:basedOn w:val="Normln"/>
    <w:link w:val="TextlnkuChar"/>
    <w:rsid w:val="00E0096A"/>
    <w:pPr>
      <w:spacing w:before="240" w:after="0" w:line="240" w:lineRule="auto"/>
      <w:ind w:firstLine="425"/>
      <w:jc w:val="both"/>
      <w:outlineLvl w:val="5"/>
    </w:pPr>
    <w:rPr>
      <w:rFonts w:eastAsia="Times New Roman" w:cs="Times New Roman"/>
      <w:szCs w:val="20"/>
    </w:rPr>
  </w:style>
  <w:style w:type="character" w:customStyle="1" w:styleId="TextlnkuChar">
    <w:name w:val="Text článku Char"/>
    <w:link w:val="Textlnku"/>
    <w:rsid w:val="00E0096A"/>
    <w:rPr>
      <w:rFonts w:ascii="Times New Roman" w:eastAsia="Times New Roman" w:hAnsi="Times New Roman" w:cs="Times New Roman"/>
      <w:sz w:val="24"/>
      <w:szCs w:val="20"/>
    </w:rPr>
  </w:style>
  <w:style w:type="character" w:styleId="Siln">
    <w:name w:val="Strong"/>
    <w:basedOn w:val="Standardnpsmoodstavce"/>
    <w:qFormat/>
    <w:rsid w:val="00E0096A"/>
    <w:rPr>
      <w:b/>
      <w:bCs/>
    </w:rPr>
  </w:style>
  <w:style w:type="paragraph" w:styleId="Obsah2">
    <w:name w:val="toc 2"/>
    <w:basedOn w:val="Normln"/>
    <w:next w:val="Normln"/>
    <w:autoRedefine/>
    <w:uiPriority w:val="39"/>
    <w:unhideWhenUsed/>
    <w:rsid w:val="00E0096A"/>
    <w:pPr>
      <w:tabs>
        <w:tab w:val="left" w:pos="851"/>
        <w:tab w:val="right" w:leader="dot" w:pos="7926"/>
      </w:tabs>
      <w:spacing w:after="100"/>
      <w:ind w:left="240"/>
    </w:pPr>
    <w:rPr>
      <w:noProof/>
    </w:rPr>
  </w:style>
  <w:style w:type="paragraph" w:customStyle="1" w:styleId="l5">
    <w:name w:val="l5"/>
    <w:basedOn w:val="Normln"/>
    <w:rsid w:val="00E0096A"/>
    <w:pPr>
      <w:spacing w:before="100" w:beforeAutospacing="1" w:after="100" w:afterAutospacing="1" w:line="240" w:lineRule="auto"/>
    </w:pPr>
    <w:rPr>
      <w:rFonts w:eastAsia="Times New Roman" w:cs="Times New Roman"/>
      <w:szCs w:val="24"/>
      <w:lang w:eastAsia="cs-CZ"/>
    </w:rPr>
  </w:style>
  <w:style w:type="character" w:styleId="PromnnHTML">
    <w:name w:val="HTML Variable"/>
    <w:basedOn w:val="Standardnpsmoodstavce"/>
    <w:uiPriority w:val="99"/>
    <w:semiHidden/>
    <w:unhideWhenUsed/>
    <w:rsid w:val="00E0096A"/>
    <w:rPr>
      <w:i/>
      <w:iCs/>
    </w:rPr>
  </w:style>
  <w:style w:type="paragraph" w:customStyle="1" w:styleId="l6">
    <w:name w:val="l6"/>
    <w:basedOn w:val="Normln"/>
    <w:rsid w:val="00E0096A"/>
    <w:pPr>
      <w:spacing w:before="100" w:beforeAutospacing="1" w:after="100" w:afterAutospacing="1" w:line="240" w:lineRule="auto"/>
    </w:pPr>
    <w:rPr>
      <w:rFonts w:eastAsia="Times New Roman" w:cs="Times New Roman"/>
      <w:szCs w:val="24"/>
      <w:lang w:eastAsia="cs-CZ"/>
    </w:rPr>
  </w:style>
  <w:style w:type="paragraph" w:styleId="Obsah3">
    <w:name w:val="toc 3"/>
    <w:basedOn w:val="Normln"/>
    <w:next w:val="Normln"/>
    <w:autoRedefine/>
    <w:uiPriority w:val="39"/>
    <w:unhideWhenUsed/>
    <w:rsid w:val="00E0096A"/>
    <w:pPr>
      <w:tabs>
        <w:tab w:val="left" w:pos="1276"/>
        <w:tab w:val="right" w:leader="dot" w:pos="9062"/>
      </w:tabs>
      <w:spacing w:after="100"/>
      <w:ind w:left="480"/>
    </w:pPr>
    <w:rPr>
      <w:rFonts w:cs="Times New Roman"/>
      <w:b/>
      <w:i/>
      <w:noProof/>
    </w:rPr>
  </w:style>
  <w:style w:type="paragraph" w:styleId="Normlnweb">
    <w:name w:val="Normal (Web)"/>
    <w:basedOn w:val="Normln"/>
    <w:uiPriority w:val="99"/>
    <w:semiHidden/>
    <w:unhideWhenUsed/>
    <w:rsid w:val="00E0096A"/>
    <w:pPr>
      <w:spacing w:before="100" w:beforeAutospacing="1" w:after="100" w:afterAutospacing="1" w:line="240" w:lineRule="auto"/>
    </w:pPr>
    <w:rPr>
      <w:rFonts w:eastAsia="Times New Roman" w:cs="Times New Roman"/>
      <w:szCs w:val="24"/>
      <w:lang w:eastAsia="cs-CZ"/>
    </w:rPr>
  </w:style>
  <w:style w:type="character" w:styleId="Zvraznn">
    <w:name w:val="Emphasis"/>
    <w:aliases w:val="Normal"/>
    <w:basedOn w:val="Standardnpsmoodstavce"/>
    <w:uiPriority w:val="20"/>
    <w:qFormat/>
    <w:rsid w:val="00E0096A"/>
    <w:rPr>
      <w:i/>
      <w:iCs/>
    </w:rPr>
  </w:style>
  <w:style w:type="character" w:customStyle="1" w:styleId="UnresolvedMention">
    <w:name w:val="Unresolved Mention"/>
    <w:basedOn w:val="Standardnpsmoodstavce"/>
    <w:uiPriority w:val="99"/>
    <w:semiHidden/>
    <w:unhideWhenUsed/>
    <w:rsid w:val="00E0096A"/>
    <w:rPr>
      <w:color w:val="605E5C"/>
      <w:shd w:val="clear" w:color="auto" w:fill="E1DFDD"/>
    </w:rPr>
  </w:style>
  <w:style w:type="paragraph" w:customStyle="1" w:styleId="l2">
    <w:name w:val="l2"/>
    <w:basedOn w:val="Normln"/>
    <w:rsid w:val="00E0096A"/>
    <w:pPr>
      <w:spacing w:before="100" w:beforeAutospacing="1" w:after="100" w:afterAutospacing="1" w:line="240" w:lineRule="auto"/>
    </w:pPr>
    <w:rPr>
      <w:rFonts w:eastAsia="Times New Roman" w:cs="Times New Roman"/>
      <w:szCs w:val="24"/>
      <w:lang w:eastAsia="cs-CZ"/>
    </w:rPr>
  </w:style>
  <w:style w:type="paragraph" w:customStyle="1" w:styleId="l3">
    <w:name w:val="l3"/>
    <w:basedOn w:val="Normln"/>
    <w:rsid w:val="00E0096A"/>
    <w:pPr>
      <w:spacing w:before="100" w:beforeAutospacing="1" w:after="100" w:afterAutospacing="1" w:line="240" w:lineRule="auto"/>
    </w:pPr>
    <w:rPr>
      <w:rFonts w:eastAsia="Times New Roman" w:cs="Times New Roman"/>
      <w:szCs w:val="24"/>
      <w:lang w:eastAsia="cs-CZ"/>
    </w:rPr>
  </w:style>
  <w:style w:type="paragraph" w:customStyle="1" w:styleId="l4">
    <w:name w:val="l4"/>
    <w:basedOn w:val="Normln"/>
    <w:rsid w:val="00E0096A"/>
    <w:pPr>
      <w:spacing w:before="100" w:beforeAutospacing="1" w:after="100" w:afterAutospacing="1" w:line="240" w:lineRule="auto"/>
    </w:pPr>
    <w:rPr>
      <w:rFonts w:eastAsia="Times New Roman" w:cs="Times New Roman"/>
      <w:szCs w:val="24"/>
      <w:lang w:eastAsia="cs-CZ"/>
    </w:rPr>
  </w:style>
  <w:style w:type="paragraph" w:styleId="Textbubliny">
    <w:name w:val="Balloon Text"/>
    <w:basedOn w:val="Normln"/>
    <w:link w:val="TextbublinyChar"/>
    <w:uiPriority w:val="99"/>
    <w:semiHidden/>
    <w:unhideWhenUsed/>
    <w:rsid w:val="00E009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096A"/>
    <w:rPr>
      <w:rFonts w:ascii="Segoe UI" w:hAnsi="Segoe UI" w:cs="Segoe UI"/>
      <w:sz w:val="18"/>
      <w:szCs w:val="18"/>
    </w:rPr>
  </w:style>
  <w:style w:type="paragraph" w:styleId="Zkladntext">
    <w:name w:val="Body Text"/>
    <w:basedOn w:val="Normln"/>
    <w:link w:val="ZkladntextChar"/>
    <w:unhideWhenUsed/>
    <w:rsid w:val="00E0096A"/>
    <w:pPr>
      <w:spacing w:after="0" w:line="240" w:lineRule="auto"/>
      <w:jc w:val="both"/>
    </w:pPr>
    <w:rPr>
      <w:rFonts w:eastAsia="Times New Roman" w:cs="Times New Roman"/>
      <w:szCs w:val="24"/>
      <w:lang w:eastAsia="cs-CZ"/>
    </w:rPr>
  </w:style>
  <w:style w:type="character" w:customStyle="1" w:styleId="ZkladntextChar">
    <w:name w:val="Základní text Char"/>
    <w:basedOn w:val="Standardnpsmoodstavce"/>
    <w:link w:val="Zkladntext"/>
    <w:rsid w:val="00E0096A"/>
    <w:rPr>
      <w:rFonts w:ascii="Times New Roman" w:eastAsia="Times New Roman" w:hAnsi="Times New Roman" w:cs="Times New Roman"/>
      <w:sz w:val="24"/>
      <w:szCs w:val="24"/>
      <w:lang w:eastAsia="cs-CZ"/>
    </w:rPr>
  </w:style>
  <w:style w:type="paragraph" w:customStyle="1" w:styleId="Pa22">
    <w:name w:val="Pa22"/>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character" w:styleId="Sledovanodkaz">
    <w:name w:val="FollowedHyperlink"/>
    <w:basedOn w:val="Standardnpsmoodstavce"/>
    <w:uiPriority w:val="99"/>
    <w:semiHidden/>
    <w:unhideWhenUsed/>
    <w:rsid w:val="00E0096A"/>
    <w:rPr>
      <w:color w:val="800080" w:themeColor="followedHyperlink"/>
      <w:u w:val="single"/>
    </w:rPr>
  </w:style>
  <w:style w:type="paragraph" w:customStyle="1" w:styleId="Pa8">
    <w:name w:val="Pa8"/>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numbering" w:customStyle="1" w:styleId="StylSodrkamiWingdingsSymbolPed063cmPedsazen">
    <w:name w:val="Styl S odrážkami Wingdings (Symbol) Před:  063 cm Předsazení: ..."/>
    <w:rsid w:val="00E0096A"/>
    <w:pPr>
      <w:numPr>
        <w:numId w:val="4"/>
      </w:numPr>
    </w:pPr>
  </w:style>
  <w:style w:type="paragraph" w:customStyle="1" w:styleId="Textodstavce">
    <w:name w:val="Text odstavce"/>
    <w:basedOn w:val="Normln"/>
    <w:link w:val="TextodstavceChar"/>
    <w:rsid w:val="00E0096A"/>
    <w:pPr>
      <w:numPr>
        <w:numId w:val="4"/>
      </w:numPr>
      <w:tabs>
        <w:tab w:val="left" w:pos="851"/>
      </w:tabs>
      <w:spacing w:before="120" w:after="120" w:line="240" w:lineRule="auto"/>
      <w:jc w:val="both"/>
      <w:outlineLvl w:val="6"/>
    </w:pPr>
    <w:rPr>
      <w:rFonts w:eastAsia="Times New Roman" w:cs="Times New Roman"/>
      <w:szCs w:val="20"/>
      <w:lang w:eastAsia="cs-CZ"/>
    </w:rPr>
  </w:style>
  <w:style w:type="character" w:customStyle="1" w:styleId="TextodstavceChar">
    <w:name w:val="Text odstavce Char"/>
    <w:link w:val="Textodstavce"/>
    <w:rsid w:val="00E0096A"/>
    <w:rPr>
      <w:rFonts w:ascii="Times New Roman" w:eastAsia="Times New Roman" w:hAnsi="Times New Roman" w:cs="Times New Roman"/>
      <w:sz w:val="24"/>
      <w:szCs w:val="20"/>
      <w:lang w:eastAsia="cs-CZ"/>
    </w:rPr>
  </w:style>
  <w:style w:type="paragraph" w:customStyle="1" w:styleId="Paragraf">
    <w:name w:val="Paragraf"/>
    <w:basedOn w:val="Normln"/>
    <w:link w:val="ParagrafChar"/>
    <w:rsid w:val="00E0096A"/>
    <w:pPr>
      <w:keepNext/>
      <w:widowControl w:val="0"/>
      <w:suppressAutoHyphens/>
      <w:autoSpaceDN w:val="0"/>
      <w:spacing w:before="238" w:after="0" w:line="240" w:lineRule="auto"/>
      <w:jc w:val="center"/>
      <w:textAlignment w:val="baseline"/>
    </w:pPr>
    <w:rPr>
      <w:rFonts w:eastAsia="Arial Unicode MS" w:cs="Mangal"/>
      <w:kern w:val="3"/>
      <w:szCs w:val="24"/>
      <w:lang w:eastAsia="zh-CN" w:bidi="hi-IN"/>
    </w:rPr>
  </w:style>
  <w:style w:type="character" w:customStyle="1" w:styleId="ParagrafChar">
    <w:name w:val="Paragraf Char"/>
    <w:link w:val="Paragraf"/>
    <w:locked/>
    <w:rsid w:val="00E0096A"/>
    <w:rPr>
      <w:rFonts w:ascii="Times New Roman" w:eastAsia="Arial Unicode MS" w:hAnsi="Times New Roman" w:cs="Mangal"/>
      <w:kern w:val="3"/>
      <w:sz w:val="24"/>
      <w:szCs w:val="24"/>
      <w:lang w:eastAsia="zh-CN" w:bidi="hi-IN"/>
    </w:rPr>
  </w:style>
  <w:style w:type="paragraph" w:customStyle="1" w:styleId="Nadpisparagrafu">
    <w:name w:val="Nadpis paragrafu"/>
    <w:basedOn w:val="Paragraf"/>
    <w:next w:val="Textodstavce"/>
    <w:rsid w:val="00E0096A"/>
    <w:pPr>
      <w:keepLines/>
      <w:widowControl/>
      <w:suppressAutoHyphens w:val="0"/>
      <w:autoSpaceDN/>
      <w:spacing w:before="240"/>
      <w:textAlignment w:val="auto"/>
      <w:outlineLvl w:val="5"/>
    </w:pPr>
    <w:rPr>
      <w:rFonts w:eastAsia="Times New Roman" w:cs="Times New Roman"/>
      <w:b/>
      <w:kern w:val="0"/>
      <w:szCs w:val="20"/>
      <w:lang w:eastAsia="cs-CZ" w:bidi="ar-SA"/>
    </w:rPr>
  </w:style>
  <w:style w:type="paragraph" w:customStyle="1" w:styleId="Textpsmene">
    <w:name w:val="Text písmene"/>
    <w:basedOn w:val="Normln"/>
    <w:link w:val="TextpsmeneChar"/>
    <w:rsid w:val="00E0096A"/>
    <w:pPr>
      <w:widowControl w:val="0"/>
      <w:suppressAutoHyphens/>
      <w:autoSpaceDN w:val="0"/>
      <w:spacing w:after="0" w:line="240" w:lineRule="auto"/>
      <w:ind w:left="425" w:hanging="425"/>
      <w:jc w:val="both"/>
      <w:textAlignment w:val="baseline"/>
    </w:pPr>
    <w:rPr>
      <w:rFonts w:eastAsia="Arial Unicode MS" w:cs="Mangal"/>
      <w:kern w:val="3"/>
      <w:szCs w:val="24"/>
      <w:lang w:eastAsia="zh-CN" w:bidi="hi-IN"/>
    </w:rPr>
  </w:style>
  <w:style w:type="character" w:customStyle="1" w:styleId="TextpsmeneChar">
    <w:name w:val="Text písmene Char"/>
    <w:link w:val="Textpsmene"/>
    <w:locked/>
    <w:rsid w:val="00E0096A"/>
    <w:rPr>
      <w:rFonts w:ascii="Times New Roman" w:eastAsia="Arial Unicode MS" w:hAnsi="Times New Roman" w:cs="Mangal"/>
      <w:kern w:val="3"/>
      <w:sz w:val="24"/>
      <w:szCs w:val="24"/>
      <w:lang w:eastAsia="zh-CN" w:bidi="hi-IN"/>
    </w:rPr>
  </w:style>
  <w:style w:type="paragraph" w:styleId="Bezmezer">
    <w:name w:val="No Spacing"/>
    <w:aliases w:val="NADPIS 2"/>
    <w:autoRedefine/>
    <w:uiPriority w:val="1"/>
    <w:qFormat/>
    <w:rsid w:val="00E0096A"/>
    <w:pPr>
      <w:suppressAutoHyphens/>
      <w:autoSpaceDN w:val="0"/>
      <w:spacing w:before="160" w:after="120" w:line="240" w:lineRule="auto"/>
      <w:jc w:val="center"/>
      <w:textAlignment w:val="baseline"/>
    </w:pPr>
    <w:rPr>
      <w:rFonts w:ascii="Times New Roman" w:eastAsia="Times New Roman" w:hAnsi="Times New Roman" w:cs="Times New Roman"/>
      <w:b/>
      <w:smallCaps/>
      <w:sz w:val="28"/>
      <w:szCs w:val="28"/>
      <w:lang w:eastAsia="cs-CZ"/>
    </w:rPr>
  </w:style>
  <w:style w:type="paragraph" w:customStyle="1" w:styleId="Pa4">
    <w:name w:val="Pa4"/>
    <w:basedOn w:val="Normln"/>
    <w:next w:val="Normln"/>
    <w:uiPriority w:val="99"/>
    <w:rsid w:val="00E0096A"/>
    <w:pPr>
      <w:widowControl w:val="0"/>
      <w:autoSpaceDE w:val="0"/>
      <w:autoSpaceDN w:val="0"/>
      <w:adjustRightInd w:val="0"/>
      <w:spacing w:after="0" w:line="221" w:lineRule="atLeast"/>
    </w:pPr>
    <w:rPr>
      <w:rFonts w:ascii="Minion Pro" w:eastAsiaTheme="minorEastAsia" w:hAnsi="Minion Pro"/>
      <w:szCs w:val="24"/>
      <w:lang w:eastAsia="cs-CZ"/>
    </w:rPr>
  </w:style>
  <w:style w:type="paragraph" w:customStyle="1" w:styleId="Default">
    <w:name w:val="Default"/>
    <w:rsid w:val="00E0096A"/>
    <w:pPr>
      <w:widowControl w:val="0"/>
      <w:autoSpaceDE w:val="0"/>
      <w:autoSpaceDN w:val="0"/>
      <w:adjustRightInd w:val="0"/>
      <w:spacing w:after="0" w:line="240" w:lineRule="auto"/>
    </w:pPr>
    <w:rPr>
      <w:rFonts w:ascii="Minion Pro" w:eastAsiaTheme="minorEastAsia" w:hAnsi="Minion Pro" w:cs="Minion Pro"/>
      <w:color w:val="000000"/>
      <w:sz w:val="24"/>
      <w:szCs w:val="24"/>
      <w:lang w:eastAsia="cs-CZ"/>
    </w:rPr>
  </w:style>
  <w:style w:type="paragraph" w:customStyle="1" w:styleId="Pa13">
    <w:name w:val="Pa13"/>
    <w:basedOn w:val="Default"/>
    <w:next w:val="Default"/>
    <w:uiPriority w:val="99"/>
    <w:rsid w:val="00E0096A"/>
    <w:pPr>
      <w:spacing w:line="221" w:lineRule="atLeast"/>
    </w:pPr>
    <w:rPr>
      <w:rFonts w:cstheme="minorBidi"/>
      <w:color w:val="auto"/>
    </w:rPr>
  </w:style>
  <w:style w:type="paragraph" w:styleId="Nzev">
    <w:name w:val="Title"/>
    <w:aliases w:val="NADPIS 1"/>
    <w:basedOn w:val="Normln"/>
    <w:next w:val="Normln"/>
    <w:link w:val="NzevChar"/>
    <w:autoRedefine/>
    <w:qFormat/>
    <w:rsid w:val="00E0096A"/>
    <w:pPr>
      <w:suppressAutoHyphens/>
      <w:autoSpaceDN w:val="0"/>
      <w:spacing w:after="300" w:line="240" w:lineRule="auto"/>
      <w:contextualSpacing/>
      <w:jc w:val="center"/>
      <w:textAlignment w:val="baseline"/>
    </w:pPr>
    <w:rPr>
      <w:rFonts w:eastAsia="Times New Roman" w:cs="Times New Roman"/>
      <w:b/>
      <w:i/>
      <w:color w:val="17365D"/>
      <w:spacing w:val="5"/>
      <w:kern w:val="28"/>
      <w:sz w:val="32"/>
      <w:szCs w:val="52"/>
      <w:u w:val="single"/>
      <w:lang w:eastAsia="cs-CZ"/>
    </w:rPr>
  </w:style>
  <w:style w:type="character" w:customStyle="1" w:styleId="NzevChar">
    <w:name w:val="Název Char"/>
    <w:aliases w:val="NADPIS 1 Char"/>
    <w:basedOn w:val="Standardnpsmoodstavce"/>
    <w:link w:val="Nzev"/>
    <w:rsid w:val="00E0096A"/>
    <w:rPr>
      <w:rFonts w:ascii="Times New Roman" w:eastAsia="Times New Roman" w:hAnsi="Times New Roman" w:cs="Times New Roman"/>
      <w:b/>
      <w:i/>
      <w:color w:val="17365D"/>
      <w:spacing w:val="5"/>
      <w:kern w:val="28"/>
      <w:sz w:val="32"/>
      <w:szCs w:val="52"/>
      <w:u w:val="single"/>
      <w:lang w:eastAsia="cs-CZ"/>
    </w:rPr>
  </w:style>
  <w:style w:type="paragraph" w:customStyle="1" w:styleId="l1">
    <w:name w:val="l1"/>
    <w:basedOn w:val="Normln"/>
    <w:rsid w:val="00E0096A"/>
    <w:pPr>
      <w:spacing w:before="100" w:beforeAutospacing="1" w:after="100" w:afterAutospacing="1" w:line="240" w:lineRule="auto"/>
    </w:pPr>
    <w:rPr>
      <w:rFonts w:eastAsia="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3986</Words>
  <Characters>23524</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Počítač</dc:creator>
  <cp:keywords/>
  <dc:description/>
  <cp:lastModifiedBy>Počítač</cp:lastModifiedBy>
  <cp:revision>2</cp:revision>
  <dcterms:created xsi:type="dcterms:W3CDTF">2019-06-04T10:11:00Z</dcterms:created>
  <dcterms:modified xsi:type="dcterms:W3CDTF">2019-06-04T10:11:00Z</dcterms:modified>
</cp:coreProperties>
</file>