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5770" w14:textId="77777777" w:rsidR="00E30A2F" w:rsidRDefault="00E30A2F" w:rsidP="00E30A2F">
      <w:pPr>
        <w:pStyle w:val="xmsonormal"/>
      </w:pPr>
      <w:r>
        <w:rPr>
          <w:b/>
          <w:bCs/>
          <w:u w:val="single"/>
        </w:rPr>
        <w:t>Určeno obcím s rozšířenou působností (odborům sociálním a ekonomickým):</w:t>
      </w:r>
    </w:p>
    <w:p w14:paraId="175B3E21" w14:textId="77777777" w:rsidR="00E30A2F" w:rsidRDefault="00E30A2F" w:rsidP="00E30A2F">
      <w:pPr>
        <w:pStyle w:val="Normlnweb"/>
      </w:pPr>
      <w:r>
        <w:rPr>
          <w:color w:val="000000"/>
        </w:rPr>
        <w:t>V</w:t>
      </w:r>
      <w:r>
        <w:t>á</w:t>
      </w:r>
      <w:r>
        <w:rPr>
          <w:color w:val="000000"/>
        </w:rPr>
        <w:t xml:space="preserve">žení, </w:t>
      </w:r>
    </w:p>
    <w:p w14:paraId="226B34AF" w14:textId="77777777" w:rsidR="00E30A2F" w:rsidRDefault="00E30A2F" w:rsidP="00E30A2F">
      <w:pPr>
        <w:pStyle w:val="Normlnweb"/>
      </w:pPr>
      <w:r>
        <w:rPr>
          <w:color w:val="000000"/>
        </w:rPr>
        <w:t xml:space="preserve">v návaznosti na novelu zákona č. 359/1999 Sb., o sociálně-právní ochraně dětí, která nabude účinnosti k 1. 1. 2022, a v návaznosti na dopis náměstkyně MPSV pro řízení sekce podpory rodiny č. j. MPSV-2021/153256-213, který byl obcím s rozšířenou působností („ORP“) a hl. m. Praze rozeslán v říjnu 2021, předkládáme doplňující informace týkající se charakteru transferu, jímž bude od 1. 1. 2022 financován výkon přenesené působnosti na úrovni obecních úřadů ORP v oblasti sociálně-právní ochrany dětí (dále „transfer“). </w:t>
      </w:r>
    </w:p>
    <w:p w14:paraId="05D0D600" w14:textId="77777777" w:rsidR="00E30A2F" w:rsidRDefault="00E30A2F" w:rsidP="00E30A2F">
      <w:pPr>
        <w:pStyle w:val="Normlnweb"/>
      </w:pPr>
      <w:r>
        <w:rPr>
          <w:color w:val="000000"/>
        </w:rPr>
        <w:t xml:space="preserve">V tuto chvíli zasíláme především informace, které mohou být potřebné ORP při sestavování rozpočtů na nový kalendářní rok, proto je </w:t>
      </w:r>
      <w:r>
        <w:rPr>
          <w:b/>
          <w:bCs/>
          <w:color w:val="000000"/>
        </w:rPr>
        <w:t xml:space="preserve">důležité, aby tento email byl předán především </w:t>
      </w:r>
      <w:r>
        <w:rPr>
          <w:b/>
          <w:bCs/>
          <w:color w:val="000000"/>
          <w:u w:val="single"/>
        </w:rPr>
        <w:t>ekonomickým útvarům ORP a krajů</w:t>
      </w:r>
      <w:r>
        <w:rPr>
          <w:color w:val="000000"/>
        </w:rPr>
        <w:t xml:space="preserve">. </w:t>
      </w:r>
    </w:p>
    <w:p w14:paraId="37AE68DC" w14:textId="77777777" w:rsidR="00E30A2F" w:rsidRDefault="00E30A2F" w:rsidP="00E30A2F">
      <w:pPr>
        <w:pStyle w:val="xmsonormal"/>
        <w:spacing w:line="360" w:lineRule="auto"/>
        <w:ind w:left="1440" w:hanging="360"/>
        <w:jc w:val="both"/>
      </w:pPr>
      <w:r>
        <w:rPr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u w:val="single"/>
        </w:rPr>
        <w:t>Shrnutí</w:t>
      </w:r>
    </w:p>
    <w:p w14:paraId="38F995DE" w14:textId="77777777" w:rsidR="00E30A2F" w:rsidRDefault="00E30A2F" w:rsidP="00E30A2F">
      <w:pPr>
        <w:pStyle w:val="Normlnweb"/>
        <w:ind w:left="1080"/>
      </w:pPr>
      <w:r>
        <w:rPr>
          <w:color w:val="000000"/>
        </w:rPr>
        <w:t xml:space="preserve">Od 1. 1. 2022 dojde ke změně v charakteru transferu na financování výkonu SPOD na úrovni ORP - transfer již nebude poskytován jako dotace v režimu zákona č. 218/2000 Sb., o rozpočtových pravidlech a o změně některých souvisejících zákonů (rozpočtová </w:t>
      </w:r>
      <w:proofErr w:type="gramStart"/>
      <w:r>
        <w:rPr>
          <w:color w:val="000000"/>
        </w:rPr>
        <w:t>pravidla)  (</w:t>
      </w:r>
      <w:proofErr w:type="gramEnd"/>
      <w:r>
        <w:rPr>
          <w:color w:val="000000"/>
        </w:rPr>
        <w:t>„ZRP“) a navazujících vyhlášek.</w:t>
      </w:r>
    </w:p>
    <w:p w14:paraId="59F7263C" w14:textId="77777777" w:rsidR="00E30A2F" w:rsidRDefault="00E30A2F" w:rsidP="00E30A2F">
      <w:pPr>
        <w:pStyle w:val="Normlnweb"/>
        <w:ind w:left="1080"/>
      </w:pPr>
      <w:r>
        <w:rPr>
          <w:color w:val="000000"/>
        </w:rPr>
        <w:t>§ 58 odst. 1 zákona o SPOD od 1. 1. 2022:</w:t>
      </w:r>
    </w:p>
    <w:p w14:paraId="7982BBA9" w14:textId="77777777" w:rsidR="00E30A2F" w:rsidRDefault="00E30A2F" w:rsidP="00E30A2F">
      <w:pPr>
        <w:pStyle w:val="Normlnweb"/>
        <w:ind w:left="1080"/>
      </w:pPr>
      <w:r>
        <w:rPr>
          <w:color w:val="000000"/>
        </w:rPr>
        <w:t>„Obcím s rozšířenou působností se ze státního rozpočtu poskytuje náhrada nákladů vzniklých v souvislosti s výkonem sociálně-právní ochrany, s výjimkou nákladů na zřízení a provoz zařízení sociálně-právní ochrany.“</w:t>
      </w:r>
    </w:p>
    <w:p w14:paraId="276649DE" w14:textId="77777777" w:rsidR="00E30A2F" w:rsidRDefault="00E30A2F" w:rsidP="00E30A2F">
      <w:pPr>
        <w:pStyle w:val="xmsonormal"/>
        <w:ind w:left="1440" w:hanging="360"/>
      </w:pPr>
      <w:r>
        <w:rPr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u w:val="single"/>
        </w:rPr>
        <w:t>Účtování</w:t>
      </w:r>
    </w:p>
    <w:p w14:paraId="1A2C8CB6" w14:textId="77777777" w:rsidR="00E30A2F" w:rsidRDefault="00E30A2F" w:rsidP="00E30A2F">
      <w:pPr>
        <w:pStyle w:val="Normlnweb"/>
        <w:ind w:left="372" w:firstLine="708"/>
      </w:pPr>
      <w:r>
        <w:rPr>
          <w:color w:val="000000"/>
        </w:rPr>
        <w:t xml:space="preserve">z hlediska účtování na straně obcí zůstává zachován stejný postup jako dosud u dotací: </w:t>
      </w:r>
    </w:p>
    <w:p w14:paraId="3A1EEB66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v platné rozpočtové skladbě bude transfer na úrovni poskytovatele, tj. MPSV, zařazen na položce 5321 Neinvestiční transfery obcím,</w:t>
      </w:r>
    </w:p>
    <w:p w14:paraId="4F397442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obce a hl. m. Praha zaúčtují přijetí transferu na položku 4116 - Ostatní neinvestiční přijaté transfery ze státního rozpočtu s účelovým znakem, který bude určen ze strany MF později (informace bude obsažena v Metodice k transferu, kterou MPSV zpracovává, příp. na webu Ministerstva financí), </w:t>
      </w:r>
    </w:p>
    <w:p w14:paraId="6A2DD766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výdaje obce vykazují na položkách třídy 5 rozpočtové skladby v závislosti na druhu výdaje,</w:t>
      </w:r>
    </w:p>
    <w:p w14:paraId="7BAD5292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transfer bude poskytován především jako transfer ex-ante (předběžně na začátku kalendářního roku), v některých případech částečně jako transfer ex-post (na základě vyúčtovaných výdajů, v případě „doplatků“). </w:t>
      </w:r>
    </w:p>
    <w:p w14:paraId="4345A82B" w14:textId="77777777" w:rsidR="00E30A2F" w:rsidRDefault="00E30A2F" w:rsidP="00E30A2F">
      <w:pPr>
        <w:pStyle w:val="xmsonormal"/>
        <w:ind w:left="1440"/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14:paraId="625160A5" w14:textId="77777777" w:rsidR="00E30A2F" w:rsidRDefault="00E30A2F" w:rsidP="00E30A2F">
      <w:pPr>
        <w:pStyle w:val="xmsonormal"/>
        <w:ind w:left="1440"/>
      </w:pPr>
      <w:r>
        <w:rPr>
          <w:color w:val="000000"/>
        </w:rPr>
        <w:t> </w:t>
      </w:r>
    </w:p>
    <w:p w14:paraId="66F590C7" w14:textId="77777777" w:rsidR="00E30A2F" w:rsidRDefault="00E30A2F" w:rsidP="00E30A2F">
      <w:pPr>
        <w:pStyle w:val="xmsonormal"/>
        <w:ind w:left="1440" w:hanging="360"/>
        <w:jc w:val="both"/>
      </w:pPr>
      <w:r>
        <w:rPr>
          <w:color w:val="00000A"/>
        </w:rPr>
        <w:t>3.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       </w:t>
      </w:r>
      <w:r>
        <w:rPr>
          <w:rFonts w:ascii="Arial" w:hAnsi="Arial" w:cs="Arial"/>
          <w:color w:val="00000A"/>
          <w:sz w:val="20"/>
          <w:szCs w:val="20"/>
          <w:u w:val="single"/>
        </w:rPr>
        <w:t>Vztah k zákonu o rozpočtových pravidlech („ZRP“) a zákonu č. 250/2000 Sb., o rozpočtových pravidlech územních rozpočtů</w:t>
      </w:r>
    </w:p>
    <w:p w14:paraId="75BFFF47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poskytování náhrad se </w:t>
      </w:r>
      <w:r>
        <w:rPr>
          <w:color w:val="000000"/>
          <w:u w:val="single"/>
        </w:rPr>
        <w:t>neřídí</w:t>
      </w:r>
      <w:r>
        <w:rPr>
          <w:color w:val="000000"/>
        </w:rPr>
        <w:t xml:space="preserve"> ustanoveními ZRP platnými pro dotace v § 14 až § 19 ZRP,</w:t>
      </w:r>
    </w:p>
    <w:p w14:paraId="61B13097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§ 39 a násl. o kontrole a porušení rozpočtové kázně se na tento transfer </w:t>
      </w:r>
      <w:r>
        <w:rPr>
          <w:color w:val="000000"/>
          <w:u w:val="single"/>
        </w:rPr>
        <w:t>vztahují,</w:t>
      </w:r>
      <w:r>
        <w:rPr>
          <w:color w:val="000000"/>
        </w:rPr>
        <w:t xml:space="preserve"> </w:t>
      </w:r>
    </w:p>
    <w:p w14:paraId="65A1FCFA" w14:textId="77777777" w:rsidR="00E30A2F" w:rsidRDefault="00E30A2F" w:rsidP="00E30A2F">
      <w:pPr>
        <w:pStyle w:val="xmsonormal"/>
        <w:ind w:left="1440" w:hanging="360"/>
        <w:jc w:val="both"/>
      </w:pPr>
      <w:r>
        <w:rPr>
          <w:rFonts w:ascii="Symbol" w:hAnsi="Symbol"/>
          <w:color w:val="00000A"/>
          <w:sz w:val="20"/>
          <w:szCs w:val="20"/>
        </w:rPr>
        <w:lastRenderedPageBreak/>
        <w:t>·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         </w:t>
      </w:r>
      <w:r>
        <w:rPr>
          <w:rFonts w:ascii="Arial" w:hAnsi="Arial" w:cs="Arial"/>
          <w:color w:val="00000A"/>
          <w:sz w:val="20"/>
          <w:szCs w:val="20"/>
        </w:rPr>
        <w:t xml:space="preserve">z hlediska zákona č. 250/2000 Sb. se nově bude jednat o příjem obce podle § 7 odst. 1 </w:t>
      </w:r>
      <w:r>
        <w:rPr>
          <w:rFonts w:ascii="Arial" w:hAnsi="Arial" w:cs="Arial"/>
          <w:color w:val="00000A"/>
          <w:sz w:val="20"/>
          <w:szCs w:val="20"/>
          <w:u w:val="single"/>
        </w:rPr>
        <w:t>písm. k),</w:t>
      </w:r>
    </w:p>
    <w:p w14:paraId="1272E0C9" w14:textId="77777777" w:rsidR="00E30A2F" w:rsidRDefault="00E30A2F" w:rsidP="00E30A2F">
      <w:pPr>
        <w:pStyle w:val="xmsonormal"/>
        <w:ind w:left="1440" w:hanging="360"/>
        <w:jc w:val="both"/>
      </w:pPr>
      <w:r>
        <w:rPr>
          <w:rFonts w:ascii="Symbol" w:hAnsi="Symbol"/>
          <w:color w:val="00000A"/>
          <w:sz w:val="20"/>
          <w:szCs w:val="20"/>
        </w:rPr>
        <w:t>·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  <w:b/>
          <w:bCs/>
          <w:color w:val="00000A"/>
          <w:sz w:val="20"/>
          <w:szCs w:val="20"/>
          <w:u w:val="single"/>
        </w:rPr>
        <w:t>neprůtokovost</w:t>
      </w:r>
      <w:proofErr w:type="spellEnd"/>
      <w:r>
        <w:rPr>
          <w:rFonts w:ascii="Arial" w:hAnsi="Arial" w:cs="Arial"/>
          <w:b/>
          <w:bCs/>
          <w:color w:val="00000A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transferu</w:t>
      </w:r>
      <w:r>
        <w:rPr>
          <w:rFonts w:ascii="Arial" w:hAnsi="Arial" w:cs="Arial"/>
          <w:color w:val="00000A"/>
          <w:sz w:val="20"/>
          <w:szCs w:val="20"/>
        </w:rPr>
        <w:t xml:space="preserve"> - § 19 odst. 2 ZRP se na tento transfer nevztahuje, prostředky tedy již nebudou zasílány prostřednictvím krajů, ale </w:t>
      </w:r>
      <w:r>
        <w:rPr>
          <w:rFonts w:ascii="Arial" w:hAnsi="Arial" w:cs="Arial"/>
          <w:b/>
          <w:bCs/>
          <w:color w:val="00000A"/>
          <w:sz w:val="20"/>
          <w:szCs w:val="20"/>
          <w:u w:val="single"/>
        </w:rPr>
        <w:t>MPSV je bude zasílat přímo na účty ORP vedené u ČNB</w:t>
      </w:r>
      <w:r>
        <w:rPr>
          <w:rFonts w:ascii="Arial" w:hAnsi="Arial" w:cs="Arial"/>
          <w:color w:val="00000A"/>
          <w:sz w:val="20"/>
          <w:szCs w:val="20"/>
        </w:rPr>
        <w:t xml:space="preserve">. </w:t>
      </w:r>
    </w:p>
    <w:p w14:paraId="5C2629F4" w14:textId="77777777" w:rsidR="00E30A2F" w:rsidRDefault="00E30A2F" w:rsidP="00E30A2F">
      <w:pPr>
        <w:pStyle w:val="xmsonormal"/>
        <w:jc w:val="both"/>
      </w:pPr>
      <w:r>
        <w:rPr>
          <w:rFonts w:ascii="Arial" w:hAnsi="Arial" w:cs="Arial"/>
          <w:b/>
          <w:bCs/>
          <w:color w:val="00000A"/>
          <w:sz w:val="20"/>
          <w:szCs w:val="20"/>
        </w:rPr>
        <w:t> </w:t>
      </w:r>
    </w:p>
    <w:p w14:paraId="3F24528D" w14:textId="77777777" w:rsidR="00E30A2F" w:rsidRDefault="00E30A2F" w:rsidP="00E30A2F">
      <w:pPr>
        <w:pStyle w:val="xmsonormal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</w:p>
    <w:p w14:paraId="6F7FCE0D" w14:textId="77777777" w:rsidR="00E30A2F" w:rsidRDefault="00E30A2F" w:rsidP="00E30A2F">
      <w:pPr>
        <w:pStyle w:val="xmsonormal"/>
        <w:ind w:left="1440" w:hanging="360"/>
        <w:jc w:val="both"/>
      </w:pPr>
      <w:r>
        <w:rPr>
          <w:color w:val="000000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u w:val="single"/>
        </w:rPr>
        <w:t>Vztah k vyhlášce č. 367/2015 Sb. o finančním vypořádání</w:t>
      </w:r>
    </w:p>
    <w:p w14:paraId="1510B8F8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poskytnuté prostředky nepodléhají povinnosti finančního vypořádání podle této vyhlášky.</w:t>
      </w:r>
    </w:p>
    <w:p w14:paraId="3D94B977" w14:textId="77777777" w:rsidR="00E30A2F" w:rsidRDefault="00E30A2F" w:rsidP="00E30A2F">
      <w:pPr>
        <w:pStyle w:val="xmsonormal"/>
      </w:pPr>
    </w:p>
    <w:p w14:paraId="0D9BECFD" w14:textId="77777777" w:rsidR="00E30A2F" w:rsidRDefault="00E30A2F" w:rsidP="00E30A2F">
      <w:pPr>
        <w:pStyle w:val="xmsonormal"/>
      </w:pPr>
    </w:p>
    <w:p w14:paraId="31DF68D3" w14:textId="77777777" w:rsidR="00E30A2F" w:rsidRDefault="00E30A2F" w:rsidP="00E30A2F">
      <w:pPr>
        <w:pStyle w:val="xmsonormal"/>
        <w:ind w:left="1440" w:hanging="360"/>
      </w:pPr>
      <w:r>
        <w:rPr>
          <w:color w:val="000000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  <w:u w:val="single"/>
        </w:rPr>
        <w:t>Sledování čerpání a kontrola</w:t>
      </w:r>
    </w:p>
    <w:p w14:paraId="62C521FE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transfer podléhá veřejnosprávní kontrole a finanční kontrole dle ustanovení zákona č. 320/2001 Sb., o finanční kontrole ve veřejné správě, a zákona č. 255/2012 Sb., o kontrole (kontrolní řád). </w:t>
      </w:r>
    </w:p>
    <w:p w14:paraId="3FB60815" w14:textId="77777777" w:rsidR="00E30A2F" w:rsidRDefault="00E30A2F" w:rsidP="00E30A2F">
      <w:pPr>
        <w:pStyle w:val="xmsonormal"/>
        <w:ind w:left="1440" w:hanging="360"/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 xml:space="preserve">za účelem zajištění hospodárného, efektivního použití prostředků státního rozpočtu v souladu s účelem bude ze strany obcí předkládáno roční vyúčtování čerpaných prostředků v obdobném rozsahu jako dosud u dotace. </w:t>
      </w:r>
      <w:r>
        <w:rPr>
          <w:b/>
          <w:bCs/>
          <w:color w:val="000000"/>
        </w:rPr>
        <w:t> </w:t>
      </w:r>
    </w:p>
    <w:p w14:paraId="4560DC4E" w14:textId="77777777" w:rsidR="00E30A2F" w:rsidRDefault="00E30A2F" w:rsidP="00E30A2F">
      <w:pPr>
        <w:pStyle w:val="xmsonormal"/>
        <w:ind w:left="1440"/>
      </w:pPr>
      <w:r>
        <w:rPr>
          <w:color w:val="000000"/>
        </w:rPr>
        <w:t> </w:t>
      </w:r>
    </w:p>
    <w:p w14:paraId="2FF06B89" w14:textId="77777777" w:rsidR="00E30A2F" w:rsidRDefault="00E30A2F" w:rsidP="00E30A2F">
      <w:pPr>
        <w:pStyle w:val="xmsonormal"/>
        <w:ind w:left="1440" w:hanging="36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color w:val="000000"/>
        </w:rPr>
        <w:t xml:space="preserve">Způsob stanovení výše transferu by měl být zachován jako dosud u dotace (tj. paušální částka na jeden úvazek vytvořeného pracovního místa). Co se týká rozsahu druhů čerpaných výdajů je diskutováno omezení v některých dosud uznatelných položkách, které nejsou přímo vázány na výkon agendy SPOD a nesplňovaly by tak podmínku zákona o SPOD. Naprostá většina dosud uznatelných položek však zůstane zachována. Podmínky uvedené v tomto bodě je však nutné brát prozatím jen jako předběžné informace. Podrobné podmínky pro poskytování a čerpání prostředků transferu budou závazně upraveny až příkazem ministra, kterým bude stanovena metodika pro poskytování transferu na financování výkonu agendy SPOD. </w:t>
      </w:r>
    </w:p>
    <w:p w14:paraId="355A4062" w14:textId="77777777" w:rsidR="00E30A2F" w:rsidRDefault="00E30A2F" w:rsidP="00E30A2F">
      <w:pPr>
        <w:pStyle w:val="xmsonormal"/>
      </w:pPr>
      <w:r>
        <w:t> </w:t>
      </w:r>
    </w:p>
    <w:p w14:paraId="6264D2BB" w14:textId="77777777" w:rsidR="00E30A2F" w:rsidRDefault="00E30A2F" w:rsidP="00E30A2F">
      <w:pPr>
        <w:pStyle w:val="xmsonormal"/>
      </w:pPr>
      <w:r>
        <w:t>Případné doplatky za rok 2021 však budou v roce 2022 administrovány ještě jako dotace podle zákona o rozpočtových pravidlech, budou tedy přiznávány na základě předložené žádosti a rozhodnutí MPSV o poskytnutí doplatku dotace a přiznané prostředky budou zasílány prostřednictvím krajů. Bližší informace budou jako vždy zveřejněny ve výzvě na webu MPSV do konce roku.</w:t>
      </w:r>
    </w:p>
    <w:p w14:paraId="50F535AF" w14:textId="77777777" w:rsidR="00E30A2F" w:rsidRDefault="00E30A2F" w:rsidP="00E30A2F">
      <w:pPr>
        <w:pStyle w:val="xmsonormal"/>
      </w:pPr>
      <w:r>
        <w:t> </w:t>
      </w:r>
    </w:p>
    <w:p w14:paraId="6A196E09" w14:textId="77777777" w:rsidR="00E30A2F" w:rsidRDefault="00E30A2F" w:rsidP="00E30A2F">
      <w:pPr>
        <w:pStyle w:val="xmsonormal"/>
      </w:pPr>
      <w:r>
        <w:t>D</w:t>
      </w:r>
      <w:r>
        <w:rPr>
          <w:color w:val="000000"/>
        </w:rPr>
        <w:t>ěkujeme za spolupráci, s pozdravem</w:t>
      </w:r>
    </w:p>
    <w:p w14:paraId="6C9F4BF3" w14:textId="77777777" w:rsidR="00E30A2F" w:rsidRDefault="00E30A2F" w:rsidP="00E30A2F">
      <w:pPr>
        <w:pStyle w:val="Normlnweb"/>
      </w:pPr>
      <w:r>
        <w:rPr>
          <w:color w:val="000000"/>
        </w:rPr>
        <w:t> </w:t>
      </w:r>
      <w:r>
        <w:t xml:space="preserve">Ing. Zdenka </w:t>
      </w:r>
      <w:proofErr w:type="spellStart"/>
      <w:r>
        <w:t>Kainarová</w:t>
      </w:r>
      <w:proofErr w:type="spellEnd"/>
    </w:p>
    <w:p w14:paraId="36318CB5" w14:textId="77777777" w:rsidR="00E30A2F" w:rsidRDefault="00E30A2F" w:rsidP="00E30A2F">
      <w:pPr>
        <w:pStyle w:val="xmsonormal"/>
      </w:pPr>
      <w:r>
        <w:rPr>
          <w:sz w:val="18"/>
          <w:szCs w:val="18"/>
        </w:rPr>
        <w:t>Odbor rodinné politiky a ochrany práv dětí</w:t>
      </w:r>
    </w:p>
    <w:p w14:paraId="25EFD718" w14:textId="77777777" w:rsidR="00E30A2F" w:rsidRDefault="00E30A2F" w:rsidP="00E30A2F">
      <w:pPr>
        <w:pStyle w:val="xmsonormal"/>
      </w:pPr>
      <w:r>
        <w:rPr>
          <w:sz w:val="18"/>
          <w:szCs w:val="18"/>
        </w:rPr>
        <w:t>Odd. metodické podpory</w:t>
      </w:r>
    </w:p>
    <w:p w14:paraId="7D1B774D" w14:textId="77777777" w:rsidR="00E30A2F" w:rsidRDefault="00E30A2F" w:rsidP="00E30A2F">
      <w:pPr>
        <w:pStyle w:val="xmsonormal"/>
      </w:pPr>
      <w:r>
        <w:rPr>
          <w:sz w:val="18"/>
          <w:szCs w:val="18"/>
        </w:rPr>
        <w:t>Ministerstvo práce a sociálních věcí</w:t>
      </w:r>
    </w:p>
    <w:p w14:paraId="21BCBF08" w14:textId="77777777" w:rsidR="00E30A2F" w:rsidRDefault="00E30A2F" w:rsidP="00E30A2F">
      <w:pPr>
        <w:pStyle w:val="xmsonormal"/>
      </w:pPr>
      <w:r>
        <w:rPr>
          <w:sz w:val="18"/>
          <w:szCs w:val="18"/>
        </w:rPr>
        <w:t>Na Poříčním právu 1/376</w:t>
      </w:r>
    </w:p>
    <w:p w14:paraId="60F96BB3" w14:textId="77777777" w:rsidR="00E30A2F" w:rsidRDefault="00E30A2F" w:rsidP="00E30A2F">
      <w:pPr>
        <w:pStyle w:val="xmsonormal"/>
      </w:pPr>
      <w:r>
        <w:rPr>
          <w:sz w:val="18"/>
          <w:szCs w:val="18"/>
        </w:rPr>
        <w:t>128 01 Praha 2</w:t>
      </w:r>
    </w:p>
    <w:p w14:paraId="31D9934C" w14:textId="77777777" w:rsidR="003B0F32" w:rsidRDefault="003B0F32"/>
    <w:sectPr w:rsidR="003B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2F"/>
    <w:rsid w:val="003B0F32"/>
    <w:rsid w:val="00E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0DF"/>
  <w15:chartTrackingRefBased/>
  <w15:docId w15:val="{DCC31C42-3E84-4126-B5AB-AC87BEE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0A2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uiPriority w:val="99"/>
    <w:semiHidden/>
    <w:rsid w:val="00E30A2F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2021-11-16T12:30:00Z</dcterms:created>
  <dcterms:modified xsi:type="dcterms:W3CDTF">2021-11-16T12:31:00Z</dcterms:modified>
</cp:coreProperties>
</file>