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F684" w14:textId="4A6524EB" w:rsidR="00131A88" w:rsidRDefault="00131A88" w:rsidP="00131A88">
      <w:pPr>
        <w:rPr>
          <w:rFonts w:ascii="Times New Roman" w:hAnsi="Times New Roman" w:cs="Times New Roman"/>
          <w:sz w:val="28"/>
          <w:szCs w:val="28"/>
        </w:rPr>
      </w:pPr>
      <w:r>
        <w:rPr>
          <w:rFonts w:ascii="Times New Roman" w:hAnsi="Times New Roman" w:cs="Times New Roman"/>
          <w:sz w:val="28"/>
          <w:szCs w:val="28"/>
        </w:rPr>
        <w:t xml:space="preserve">Rozpočtová skladba v roce 2022 </w:t>
      </w:r>
      <w:r w:rsidR="0083195D">
        <w:rPr>
          <w:rFonts w:ascii="Times New Roman" w:hAnsi="Times New Roman" w:cs="Times New Roman"/>
          <w:sz w:val="28"/>
          <w:szCs w:val="28"/>
        </w:rPr>
        <w:t xml:space="preserve">pro ÚSC </w:t>
      </w:r>
      <w:r>
        <w:rPr>
          <w:rFonts w:ascii="Times New Roman" w:hAnsi="Times New Roman" w:cs="Times New Roman"/>
          <w:sz w:val="28"/>
          <w:szCs w:val="28"/>
        </w:rPr>
        <w:t>a změny od 1.1.2022</w:t>
      </w:r>
    </w:p>
    <w:p w14:paraId="7E19657D" w14:textId="77777777" w:rsidR="00940FD0" w:rsidRPr="00940FD0" w:rsidRDefault="00F00CFC" w:rsidP="00131A88">
      <w:pPr>
        <w:rPr>
          <w:rFonts w:ascii="Times New Roman" w:hAnsi="Times New Roman" w:cs="Times New Roman"/>
          <w:noProof/>
        </w:rPr>
      </w:pPr>
      <w:r>
        <w:rPr>
          <w:rFonts w:ascii="Times New Roman" w:hAnsi="Times New Roman" w:cs="Times New Roman"/>
          <w:b/>
          <w:bCs/>
          <w:sz w:val="24"/>
          <w:szCs w:val="24"/>
        </w:rPr>
        <w:t xml:space="preserve">Obsah: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p>
    <w:p w14:paraId="2F575C21" w14:textId="3219D19D" w:rsidR="00940FD0" w:rsidRPr="00940FD0" w:rsidRDefault="00DF22F1">
      <w:pPr>
        <w:pStyle w:val="Obsah1"/>
        <w:tabs>
          <w:tab w:val="right" w:leader="dot" w:pos="9062"/>
        </w:tabs>
        <w:rPr>
          <w:rFonts w:ascii="Times New Roman" w:eastAsiaTheme="minorEastAsia" w:hAnsi="Times New Roman" w:cs="Times New Roman"/>
          <w:noProof/>
          <w:lang w:eastAsia="cs-CZ"/>
        </w:rPr>
      </w:pPr>
      <w:hyperlink w:anchor="_Toc94609606" w:history="1">
        <w:r w:rsidR="00940FD0" w:rsidRPr="00940FD0">
          <w:rPr>
            <w:rStyle w:val="Hypertextovodkaz"/>
            <w:rFonts w:ascii="Times New Roman" w:hAnsi="Times New Roman" w:cs="Times New Roman"/>
            <w:noProof/>
          </w:rPr>
          <w:t>1. Změny v nové vyhlášce oproti roku 2021:</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_Toc94609606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2</w:t>
        </w:r>
        <w:r w:rsidR="00940FD0" w:rsidRPr="00940FD0">
          <w:rPr>
            <w:rFonts w:ascii="Times New Roman" w:hAnsi="Times New Roman" w:cs="Times New Roman"/>
            <w:noProof/>
            <w:webHidden/>
          </w:rPr>
          <w:fldChar w:fldCharType="end"/>
        </w:r>
      </w:hyperlink>
    </w:p>
    <w:p w14:paraId="4576313C" w14:textId="168AC581" w:rsidR="00940FD0" w:rsidRPr="00940FD0" w:rsidRDefault="00DF22F1">
      <w:pPr>
        <w:pStyle w:val="Obsah1"/>
        <w:tabs>
          <w:tab w:val="right" w:leader="dot" w:pos="9062"/>
        </w:tabs>
        <w:rPr>
          <w:rFonts w:ascii="Times New Roman" w:eastAsiaTheme="minorEastAsia" w:hAnsi="Times New Roman" w:cs="Times New Roman"/>
          <w:noProof/>
          <w:lang w:eastAsia="cs-CZ"/>
        </w:rPr>
      </w:pPr>
      <w:hyperlink w:anchor="_Toc94609607" w:history="1">
        <w:r w:rsidR="00940FD0" w:rsidRPr="00940FD0">
          <w:rPr>
            <w:rStyle w:val="Hypertextovodkaz"/>
            <w:rFonts w:ascii="Times New Roman" w:hAnsi="Times New Roman" w:cs="Times New Roman"/>
            <w:noProof/>
          </w:rPr>
          <w:t>2. Pokyn MF k postupu dle vyhlášce č. 412/2021 a změny oproti náplním třídění ve vyhlášce č.323/2021 Sb. ve znění k roku 2021.</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_Toc94609607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3</w:t>
        </w:r>
        <w:r w:rsidR="00940FD0" w:rsidRPr="00940FD0">
          <w:rPr>
            <w:rFonts w:ascii="Times New Roman" w:hAnsi="Times New Roman" w:cs="Times New Roman"/>
            <w:noProof/>
            <w:webHidden/>
          </w:rPr>
          <w:fldChar w:fldCharType="end"/>
        </w:r>
      </w:hyperlink>
    </w:p>
    <w:p w14:paraId="624B9D11" w14:textId="2C3E64CA" w:rsidR="00940FD0" w:rsidRPr="00940FD0" w:rsidRDefault="00DF22F1">
      <w:pPr>
        <w:pStyle w:val="Obsah1"/>
        <w:tabs>
          <w:tab w:val="right" w:leader="dot" w:pos="9062"/>
        </w:tabs>
        <w:rPr>
          <w:rFonts w:ascii="Times New Roman" w:eastAsiaTheme="minorEastAsia" w:hAnsi="Times New Roman" w:cs="Times New Roman"/>
          <w:noProof/>
          <w:lang w:eastAsia="cs-CZ"/>
        </w:rPr>
      </w:pPr>
      <w:hyperlink w:anchor="_Toc94609608" w:history="1">
        <w:r w:rsidR="00940FD0" w:rsidRPr="00940FD0">
          <w:rPr>
            <w:rStyle w:val="Hypertextovodkaz"/>
            <w:rFonts w:ascii="Times New Roman" w:hAnsi="Times New Roman" w:cs="Times New Roman"/>
            <w:noProof/>
          </w:rPr>
          <w:t>3.  Rozbor pokynu v oblasti pojmů pro účely rozpočtové skladby</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_Toc94609608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4</w:t>
        </w:r>
        <w:r w:rsidR="00940FD0" w:rsidRPr="00940FD0">
          <w:rPr>
            <w:rFonts w:ascii="Times New Roman" w:hAnsi="Times New Roman" w:cs="Times New Roman"/>
            <w:noProof/>
            <w:webHidden/>
          </w:rPr>
          <w:fldChar w:fldCharType="end"/>
        </w:r>
      </w:hyperlink>
    </w:p>
    <w:p w14:paraId="09D57FF4" w14:textId="27B832F9" w:rsidR="00940FD0" w:rsidRPr="00940FD0" w:rsidRDefault="00DF22F1">
      <w:pPr>
        <w:pStyle w:val="Obsah2"/>
        <w:tabs>
          <w:tab w:val="right" w:leader="dot" w:pos="9062"/>
        </w:tabs>
        <w:rPr>
          <w:rFonts w:ascii="Times New Roman" w:eastAsiaTheme="minorEastAsia" w:hAnsi="Times New Roman" w:cs="Times New Roman"/>
          <w:noProof/>
          <w:lang w:eastAsia="cs-CZ"/>
        </w:rPr>
      </w:pPr>
      <w:hyperlink w:anchor="_Toc94609609" w:history="1">
        <w:r w:rsidR="00940FD0" w:rsidRPr="00940FD0">
          <w:rPr>
            <w:rStyle w:val="Hypertextovodkaz"/>
            <w:rFonts w:ascii="Times New Roman" w:hAnsi="Times New Roman" w:cs="Times New Roman"/>
            <w:noProof/>
          </w:rPr>
          <w:t>3.1. Nepřínosné pojmy</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_Toc94609609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5</w:t>
        </w:r>
        <w:r w:rsidR="00940FD0" w:rsidRPr="00940FD0">
          <w:rPr>
            <w:rFonts w:ascii="Times New Roman" w:hAnsi="Times New Roman" w:cs="Times New Roman"/>
            <w:noProof/>
            <w:webHidden/>
          </w:rPr>
          <w:fldChar w:fldCharType="end"/>
        </w:r>
      </w:hyperlink>
    </w:p>
    <w:p w14:paraId="5E9A60E5" w14:textId="2F4B1539" w:rsidR="00940FD0" w:rsidRPr="00940FD0" w:rsidRDefault="00DF22F1">
      <w:pPr>
        <w:pStyle w:val="Obsah2"/>
        <w:tabs>
          <w:tab w:val="right" w:leader="dot" w:pos="9062"/>
        </w:tabs>
        <w:rPr>
          <w:rFonts w:ascii="Times New Roman" w:eastAsiaTheme="minorEastAsia" w:hAnsi="Times New Roman" w:cs="Times New Roman"/>
          <w:noProof/>
          <w:lang w:eastAsia="cs-CZ"/>
        </w:rPr>
      </w:pPr>
      <w:hyperlink w:anchor="_Toc94609610" w:history="1">
        <w:r w:rsidR="00940FD0" w:rsidRPr="00940FD0">
          <w:rPr>
            <w:rStyle w:val="Hypertextovodkaz"/>
            <w:rFonts w:ascii="Times New Roman" w:hAnsi="Times New Roman" w:cs="Times New Roman"/>
            <w:noProof/>
          </w:rPr>
          <w:t>3.2. Pojmy přínosné pro práci s rozpočtovou skladbou a pro pochopení systému</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_Toc94609610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5</w:t>
        </w:r>
        <w:r w:rsidR="00940FD0" w:rsidRPr="00940FD0">
          <w:rPr>
            <w:rFonts w:ascii="Times New Roman" w:hAnsi="Times New Roman" w:cs="Times New Roman"/>
            <w:noProof/>
            <w:webHidden/>
          </w:rPr>
          <w:fldChar w:fldCharType="end"/>
        </w:r>
      </w:hyperlink>
    </w:p>
    <w:p w14:paraId="6384264D" w14:textId="7D4F2EA1"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1" w:history="1">
        <w:r w:rsidR="00940FD0" w:rsidRPr="00940FD0">
          <w:rPr>
            <w:rStyle w:val="Hypertextovodkaz"/>
            <w:rFonts w:ascii="Times New Roman" w:hAnsi="Times New Roman" w:cs="Times New Roman"/>
            <w:noProof/>
          </w:rPr>
          <w:t>Pojem příjmu, výdaje a financování:</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_Toc94609611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5</w:t>
        </w:r>
        <w:r w:rsidR="00940FD0" w:rsidRPr="00940FD0">
          <w:rPr>
            <w:rFonts w:ascii="Times New Roman" w:hAnsi="Times New Roman" w:cs="Times New Roman"/>
            <w:noProof/>
            <w:webHidden/>
          </w:rPr>
          <w:fldChar w:fldCharType="end"/>
        </w:r>
      </w:hyperlink>
    </w:p>
    <w:p w14:paraId="5FBE5480" w14:textId="17BCAF4B"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2" w:history="1">
        <w:r w:rsidR="00940FD0" w:rsidRPr="00940FD0">
          <w:rPr>
            <w:rStyle w:val="Hypertextovodkaz"/>
            <w:rFonts w:ascii="Times New Roman" w:hAnsi="Times New Roman" w:cs="Times New Roman"/>
            <w:noProof/>
          </w:rPr>
          <w:t>Peněžní fond (účty).</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_Toc94609612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5</w:t>
        </w:r>
        <w:r w:rsidR="00940FD0" w:rsidRPr="00940FD0">
          <w:rPr>
            <w:rFonts w:ascii="Times New Roman" w:hAnsi="Times New Roman" w:cs="Times New Roman"/>
            <w:noProof/>
            <w:webHidden/>
          </w:rPr>
          <w:fldChar w:fldCharType="end"/>
        </w:r>
      </w:hyperlink>
    </w:p>
    <w:p w14:paraId="23BCAE5C" w14:textId="02FB3488"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3" w:history="1">
        <w:r w:rsidR="00940FD0" w:rsidRPr="00940FD0">
          <w:rPr>
            <w:rStyle w:val="Hypertextovodkaz"/>
            <w:rFonts w:ascii="Times New Roman" w:hAnsi="Times New Roman" w:cs="Times New Roman"/>
            <w:noProof/>
          </w:rPr>
          <w:t>Základní rozdělení výdajů</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_Toc94609613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6</w:t>
        </w:r>
        <w:r w:rsidR="00940FD0" w:rsidRPr="00940FD0">
          <w:rPr>
            <w:rFonts w:ascii="Times New Roman" w:hAnsi="Times New Roman" w:cs="Times New Roman"/>
            <w:noProof/>
            <w:webHidden/>
          </w:rPr>
          <w:fldChar w:fldCharType="end"/>
        </w:r>
      </w:hyperlink>
    </w:p>
    <w:p w14:paraId="1879BC91" w14:textId="6D227296"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4" w:history="1">
        <w:r w:rsidR="00940FD0" w:rsidRPr="00940FD0">
          <w:rPr>
            <w:rStyle w:val="Hypertextovodkaz"/>
            <w:rFonts w:ascii="Times New Roman" w:hAnsi="Times New Roman" w:cs="Times New Roman"/>
            <w:noProof/>
          </w:rPr>
          <w:t>Rozpočty ústřední a územní úrovně</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_Toc94609614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7</w:t>
        </w:r>
        <w:r w:rsidR="00940FD0" w:rsidRPr="00940FD0">
          <w:rPr>
            <w:rFonts w:ascii="Times New Roman" w:hAnsi="Times New Roman" w:cs="Times New Roman"/>
            <w:noProof/>
            <w:webHidden/>
          </w:rPr>
          <w:fldChar w:fldCharType="end"/>
        </w:r>
      </w:hyperlink>
    </w:p>
    <w:p w14:paraId="1143C28C" w14:textId="1428B06D"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5" w:history="1">
        <w:r w:rsidR="00940FD0" w:rsidRPr="00940FD0">
          <w:rPr>
            <w:rStyle w:val="Hypertextovodkaz"/>
            <w:rFonts w:ascii="Times New Roman" w:hAnsi="Times New Roman" w:cs="Times New Roman"/>
            <w:noProof/>
          </w:rPr>
          <w:t>Další důležité pojmy k transferům a dotacím</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_Toc94609615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8</w:t>
        </w:r>
        <w:r w:rsidR="00940FD0" w:rsidRPr="00940FD0">
          <w:rPr>
            <w:rFonts w:ascii="Times New Roman" w:hAnsi="Times New Roman" w:cs="Times New Roman"/>
            <w:noProof/>
            <w:webHidden/>
          </w:rPr>
          <w:fldChar w:fldCharType="end"/>
        </w:r>
      </w:hyperlink>
    </w:p>
    <w:p w14:paraId="6F8B2D5A" w14:textId="02FC89F6" w:rsidR="00940FD0" w:rsidRPr="00940FD0" w:rsidRDefault="00DF22F1">
      <w:pPr>
        <w:pStyle w:val="Obsah2"/>
        <w:tabs>
          <w:tab w:val="right" w:leader="dot" w:pos="9062"/>
        </w:tabs>
        <w:rPr>
          <w:rFonts w:ascii="Times New Roman" w:eastAsiaTheme="minorEastAsia" w:hAnsi="Times New Roman" w:cs="Times New Roman"/>
          <w:noProof/>
          <w:lang w:eastAsia="cs-CZ"/>
        </w:rPr>
      </w:pPr>
      <w:hyperlink w:anchor="_Toc94609616" w:history="1">
        <w:r w:rsidR="00940FD0" w:rsidRPr="00940FD0">
          <w:rPr>
            <w:rStyle w:val="Hypertextovodkaz"/>
            <w:rFonts w:ascii="Times New Roman" w:hAnsi="Times New Roman" w:cs="Times New Roman"/>
            <w:noProof/>
          </w:rPr>
          <w:t>3.3. Problematické a ostatní pojmy k dlouhodobému a drobnému dlouhodobému majetku a k majetku pod hranici s komentáři</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_Toc94609616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9</w:t>
        </w:r>
        <w:r w:rsidR="00940FD0" w:rsidRPr="00940FD0">
          <w:rPr>
            <w:rFonts w:ascii="Times New Roman" w:hAnsi="Times New Roman" w:cs="Times New Roman"/>
            <w:noProof/>
            <w:webHidden/>
          </w:rPr>
          <w:fldChar w:fldCharType="end"/>
        </w:r>
      </w:hyperlink>
    </w:p>
    <w:p w14:paraId="4957D440" w14:textId="0B6889C9"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7" w:history="1">
        <w:r w:rsidR="00940FD0" w:rsidRPr="00940FD0">
          <w:rPr>
            <w:rStyle w:val="Hypertextovodkaz"/>
            <w:rFonts w:ascii="Times New Roman" w:hAnsi="Times New Roman" w:cs="Times New Roman"/>
            <w:noProof/>
          </w:rPr>
          <w:t>Pojmy dlouhodobé věci (dlouhodobý majetek)</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_Toc94609617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9</w:t>
        </w:r>
        <w:r w:rsidR="00940FD0" w:rsidRPr="00940FD0">
          <w:rPr>
            <w:rFonts w:ascii="Times New Roman" w:hAnsi="Times New Roman" w:cs="Times New Roman"/>
            <w:noProof/>
            <w:webHidden/>
          </w:rPr>
          <w:fldChar w:fldCharType="end"/>
        </w:r>
      </w:hyperlink>
    </w:p>
    <w:p w14:paraId="49766D25" w14:textId="7F8EF9B7"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8" w:history="1">
        <w:r w:rsidR="00940FD0" w:rsidRPr="00940FD0">
          <w:rPr>
            <w:rStyle w:val="Hypertextovodkaz"/>
            <w:rFonts w:ascii="Times New Roman" w:hAnsi="Times New Roman" w:cs="Times New Roman"/>
            <w:noProof/>
          </w:rPr>
          <w:t>Pojem drobný dlouhodobý majetek</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_Toc94609618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11</w:t>
        </w:r>
        <w:r w:rsidR="00940FD0" w:rsidRPr="00940FD0">
          <w:rPr>
            <w:rFonts w:ascii="Times New Roman" w:hAnsi="Times New Roman" w:cs="Times New Roman"/>
            <w:noProof/>
            <w:webHidden/>
          </w:rPr>
          <w:fldChar w:fldCharType="end"/>
        </w:r>
      </w:hyperlink>
    </w:p>
    <w:p w14:paraId="5F4612BC" w14:textId="7F2C5B48"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19" w:history="1">
        <w:r w:rsidR="00940FD0" w:rsidRPr="00940FD0">
          <w:rPr>
            <w:rStyle w:val="Hypertextovodkaz"/>
            <w:rFonts w:ascii="Times New Roman" w:hAnsi="Times New Roman" w:cs="Times New Roman"/>
            <w:noProof/>
          </w:rPr>
          <w:t>Ostatní pojmy k majetku</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_Toc94609619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12</w:t>
        </w:r>
        <w:r w:rsidR="00940FD0" w:rsidRPr="00940FD0">
          <w:rPr>
            <w:rFonts w:ascii="Times New Roman" w:hAnsi="Times New Roman" w:cs="Times New Roman"/>
            <w:noProof/>
            <w:webHidden/>
          </w:rPr>
          <w:fldChar w:fldCharType="end"/>
        </w:r>
      </w:hyperlink>
    </w:p>
    <w:p w14:paraId="1E499E86" w14:textId="1D908D27"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20" w:history="1">
        <w:r w:rsidR="00940FD0" w:rsidRPr="00940FD0">
          <w:rPr>
            <w:rStyle w:val="Hypertextovodkaz"/>
            <w:rFonts w:ascii="Times New Roman" w:hAnsi="Times New Roman" w:cs="Times New Roman"/>
            <w:noProof/>
          </w:rPr>
          <w:t>3.4. Vztahy k zahraničí</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_Toc94609620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13</w:t>
        </w:r>
        <w:r w:rsidR="00940FD0" w:rsidRPr="00940FD0">
          <w:rPr>
            <w:rFonts w:ascii="Times New Roman" w:hAnsi="Times New Roman" w:cs="Times New Roman"/>
            <w:noProof/>
            <w:webHidden/>
          </w:rPr>
          <w:fldChar w:fldCharType="end"/>
        </w:r>
      </w:hyperlink>
    </w:p>
    <w:p w14:paraId="0953478F" w14:textId="31A2DEEE"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21" w:history="1">
        <w:r w:rsidR="00940FD0" w:rsidRPr="00940FD0">
          <w:rPr>
            <w:rStyle w:val="Hypertextovodkaz"/>
            <w:rFonts w:ascii="Times New Roman" w:hAnsi="Times New Roman" w:cs="Times New Roman"/>
            <w:noProof/>
          </w:rPr>
          <w:t>3.5. Ostatní pojmy v pokynu</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_Toc94609621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13</w:t>
        </w:r>
        <w:r w:rsidR="00940FD0" w:rsidRPr="00940FD0">
          <w:rPr>
            <w:rFonts w:ascii="Times New Roman" w:hAnsi="Times New Roman" w:cs="Times New Roman"/>
            <w:noProof/>
            <w:webHidden/>
          </w:rPr>
          <w:fldChar w:fldCharType="end"/>
        </w:r>
      </w:hyperlink>
    </w:p>
    <w:p w14:paraId="5AECFA5C" w14:textId="609F1F6A" w:rsidR="00940FD0" w:rsidRPr="00940FD0" w:rsidRDefault="00DF22F1">
      <w:pPr>
        <w:pStyle w:val="Obsah1"/>
        <w:tabs>
          <w:tab w:val="right" w:leader="dot" w:pos="9062"/>
        </w:tabs>
        <w:rPr>
          <w:rFonts w:ascii="Times New Roman" w:eastAsiaTheme="minorEastAsia" w:hAnsi="Times New Roman" w:cs="Times New Roman"/>
          <w:noProof/>
          <w:lang w:eastAsia="cs-CZ"/>
        </w:rPr>
      </w:pPr>
      <w:hyperlink w:anchor="_Toc94609622" w:history="1">
        <w:r w:rsidR="00940FD0" w:rsidRPr="00940FD0">
          <w:rPr>
            <w:rStyle w:val="Hypertextovodkaz"/>
            <w:rFonts w:ascii="Times New Roman" w:hAnsi="Times New Roman" w:cs="Times New Roman"/>
            <w:noProof/>
          </w:rPr>
          <w:t>4. Pokyn – obecné zásady vztahující se k třídění příjmů, výdajů a financujících položek</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_Toc94609622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13</w:t>
        </w:r>
        <w:r w:rsidR="00940FD0" w:rsidRPr="00940FD0">
          <w:rPr>
            <w:rFonts w:ascii="Times New Roman" w:hAnsi="Times New Roman" w:cs="Times New Roman"/>
            <w:noProof/>
            <w:webHidden/>
          </w:rPr>
          <w:fldChar w:fldCharType="end"/>
        </w:r>
      </w:hyperlink>
    </w:p>
    <w:p w14:paraId="504D8B37" w14:textId="19C2E75D" w:rsidR="00940FD0" w:rsidRPr="00940FD0" w:rsidRDefault="00DF22F1">
      <w:pPr>
        <w:pStyle w:val="Obsah2"/>
        <w:tabs>
          <w:tab w:val="right" w:leader="dot" w:pos="9062"/>
        </w:tabs>
        <w:rPr>
          <w:rFonts w:ascii="Times New Roman" w:eastAsiaTheme="minorEastAsia" w:hAnsi="Times New Roman" w:cs="Times New Roman"/>
          <w:noProof/>
          <w:lang w:eastAsia="cs-CZ"/>
        </w:rPr>
      </w:pPr>
      <w:hyperlink w:anchor="_Toc94609623" w:history="1">
        <w:r w:rsidR="00940FD0" w:rsidRPr="00940FD0">
          <w:rPr>
            <w:rStyle w:val="Hypertextovodkaz"/>
            <w:rFonts w:ascii="Times New Roman" w:hAnsi="Times New Roman" w:cs="Times New Roman"/>
            <w:noProof/>
          </w:rPr>
          <w:t>4.1. Základní pravidla pro zařazení do položek:</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_Toc94609623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14</w:t>
        </w:r>
        <w:r w:rsidR="00940FD0" w:rsidRPr="00940FD0">
          <w:rPr>
            <w:rFonts w:ascii="Times New Roman" w:hAnsi="Times New Roman" w:cs="Times New Roman"/>
            <w:noProof/>
            <w:webHidden/>
          </w:rPr>
          <w:fldChar w:fldCharType="end"/>
        </w:r>
      </w:hyperlink>
    </w:p>
    <w:p w14:paraId="49E2971E" w14:textId="6BCD3809"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24" w:history="1">
        <w:r w:rsidR="00940FD0" w:rsidRPr="00940FD0">
          <w:rPr>
            <w:rStyle w:val="Hypertextovodkaz"/>
            <w:rFonts w:ascii="Times New Roman" w:hAnsi="Times New Roman" w:cs="Times New Roman"/>
            <w:noProof/>
          </w:rPr>
          <w:t>Výběr z obecných zásad pro třídění výdajů na položky v třídě 5:</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_Toc94609624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14</w:t>
        </w:r>
        <w:r w:rsidR="00940FD0" w:rsidRPr="00940FD0">
          <w:rPr>
            <w:rFonts w:ascii="Times New Roman" w:hAnsi="Times New Roman" w:cs="Times New Roman"/>
            <w:noProof/>
            <w:webHidden/>
          </w:rPr>
          <w:fldChar w:fldCharType="end"/>
        </w:r>
      </w:hyperlink>
    </w:p>
    <w:p w14:paraId="14CC4772" w14:textId="7208FAA0" w:rsidR="00940FD0" w:rsidRPr="00940FD0" w:rsidRDefault="00DF22F1">
      <w:pPr>
        <w:pStyle w:val="Obsah2"/>
        <w:tabs>
          <w:tab w:val="right" w:leader="dot" w:pos="9062"/>
        </w:tabs>
        <w:rPr>
          <w:rFonts w:ascii="Times New Roman" w:eastAsiaTheme="minorEastAsia" w:hAnsi="Times New Roman" w:cs="Times New Roman"/>
          <w:noProof/>
          <w:lang w:eastAsia="cs-CZ"/>
        </w:rPr>
      </w:pPr>
      <w:hyperlink w:anchor="_Toc94609625" w:history="1">
        <w:r w:rsidR="00940FD0" w:rsidRPr="00940FD0">
          <w:rPr>
            <w:rStyle w:val="Hypertextovodkaz"/>
            <w:rFonts w:ascii="Times New Roman" w:hAnsi="Times New Roman" w:cs="Times New Roman"/>
            <w:noProof/>
          </w:rPr>
          <w:t>4.2. Citace zásad z pokynu s komentáři, přínosné zásady s popisy postupů</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_Toc94609625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16</w:t>
        </w:r>
        <w:r w:rsidR="00940FD0" w:rsidRPr="00940FD0">
          <w:rPr>
            <w:rFonts w:ascii="Times New Roman" w:hAnsi="Times New Roman" w:cs="Times New Roman"/>
            <w:noProof/>
            <w:webHidden/>
          </w:rPr>
          <w:fldChar w:fldCharType="end"/>
        </w:r>
      </w:hyperlink>
    </w:p>
    <w:p w14:paraId="7BDDA951" w14:textId="45C15EA4"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26" w:history="1">
        <w:r w:rsidR="00940FD0" w:rsidRPr="00940FD0">
          <w:rPr>
            <w:rStyle w:val="Hypertextovodkaz"/>
            <w:rFonts w:ascii="Times New Roman" w:hAnsi="Times New Roman" w:cs="Times New Roman"/>
            <w:noProof/>
          </w:rPr>
          <w:t>Tzv. zákaz zobrazení zápočtů přes rozpočtovou skladbu</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_Toc94609626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16</w:t>
        </w:r>
        <w:r w:rsidR="00940FD0" w:rsidRPr="00940FD0">
          <w:rPr>
            <w:rFonts w:ascii="Times New Roman" w:hAnsi="Times New Roman" w:cs="Times New Roman"/>
            <w:noProof/>
            <w:webHidden/>
          </w:rPr>
          <w:fldChar w:fldCharType="end"/>
        </w:r>
      </w:hyperlink>
    </w:p>
    <w:p w14:paraId="01B57E84" w14:textId="7EAC5457"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27" w:history="1">
        <w:r w:rsidR="00940FD0" w:rsidRPr="00940FD0">
          <w:rPr>
            <w:rStyle w:val="Hypertextovodkaz"/>
            <w:rFonts w:ascii="Times New Roman" w:hAnsi="Times New Roman" w:cs="Times New Roman"/>
            <w:noProof/>
          </w:rPr>
          <w:t>Možnosti kompenzací</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_Toc94609627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17</w:t>
        </w:r>
        <w:r w:rsidR="00940FD0" w:rsidRPr="00940FD0">
          <w:rPr>
            <w:rFonts w:ascii="Times New Roman" w:hAnsi="Times New Roman" w:cs="Times New Roman"/>
            <w:noProof/>
            <w:webHidden/>
          </w:rPr>
          <w:fldChar w:fldCharType="end"/>
        </w:r>
      </w:hyperlink>
    </w:p>
    <w:p w14:paraId="2AC34B9F" w14:textId="05212183"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28" w:history="1">
        <w:r w:rsidR="00940FD0" w:rsidRPr="00940FD0">
          <w:rPr>
            <w:rStyle w:val="Hypertextovodkaz"/>
            <w:rFonts w:ascii="Times New Roman" w:hAnsi="Times New Roman" w:cs="Times New Roman"/>
            <w:noProof/>
          </w:rPr>
          <w:t>Režimy pokladen</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_Toc94609628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17</w:t>
        </w:r>
        <w:r w:rsidR="00940FD0" w:rsidRPr="00940FD0">
          <w:rPr>
            <w:rFonts w:ascii="Times New Roman" w:hAnsi="Times New Roman" w:cs="Times New Roman"/>
            <w:noProof/>
            <w:webHidden/>
          </w:rPr>
          <w:fldChar w:fldCharType="end"/>
        </w:r>
      </w:hyperlink>
    </w:p>
    <w:p w14:paraId="2138D90D" w14:textId="3CF10D26"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29" w:history="1">
        <w:r w:rsidR="00940FD0" w:rsidRPr="00940FD0">
          <w:rPr>
            <w:rStyle w:val="Hypertextovodkaz"/>
            <w:rFonts w:ascii="Times New Roman" w:hAnsi="Times New Roman" w:cs="Times New Roman"/>
            <w:noProof/>
          </w:rPr>
          <w:t>Přehled použití položek ve vztahu k nehmotným věcem</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_Toc94609629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18</w:t>
        </w:r>
        <w:r w:rsidR="00940FD0" w:rsidRPr="00940FD0">
          <w:rPr>
            <w:rFonts w:ascii="Times New Roman" w:hAnsi="Times New Roman" w:cs="Times New Roman"/>
            <w:noProof/>
            <w:webHidden/>
          </w:rPr>
          <w:fldChar w:fldCharType="end"/>
        </w:r>
      </w:hyperlink>
    </w:p>
    <w:p w14:paraId="1CEB7A60" w14:textId="5380E959"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30" w:history="1">
        <w:r w:rsidR="00940FD0" w:rsidRPr="00940FD0">
          <w:rPr>
            <w:rStyle w:val="Hypertextovodkaz"/>
            <w:rFonts w:ascii="Times New Roman" w:hAnsi="Times New Roman" w:cs="Times New Roman"/>
            <w:noProof/>
          </w:rPr>
          <w:t>Přehled položek ve vztahu k dlouhodobému majetku</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_Toc94609630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19</w:t>
        </w:r>
        <w:r w:rsidR="00940FD0" w:rsidRPr="00940FD0">
          <w:rPr>
            <w:rFonts w:ascii="Times New Roman" w:hAnsi="Times New Roman" w:cs="Times New Roman"/>
            <w:noProof/>
            <w:webHidden/>
          </w:rPr>
          <w:fldChar w:fldCharType="end"/>
        </w:r>
      </w:hyperlink>
    </w:p>
    <w:p w14:paraId="10C286A0" w14:textId="36746C98"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31" w:history="1">
        <w:r w:rsidR="00940FD0" w:rsidRPr="00940FD0">
          <w:rPr>
            <w:rStyle w:val="Hypertextovodkaz"/>
            <w:rFonts w:ascii="Times New Roman" w:hAnsi="Times New Roman" w:cs="Times New Roman"/>
            <w:noProof/>
          </w:rPr>
          <w:t>Základní přehled systému transferových položek.</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_Toc94609631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19</w:t>
        </w:r>
        <w:r w:rsidR="00940FD0" w:rsidRPr="00940FD0">
          <w:rPr>
            <w:rFonts w:ascii="Times New Roman" w:hAnsi="Times New Roman" w:cs="Times New Roman"/>
            <w:noProof/>
            <w:webHidden/>
          </w:rPr>
          <w:fldChar w:fldCharType="end"/>
        </w:r>
      </w:hyperlink>
    </w:p>
    <w:p w14:paraId="11B3621F" w14:textId="37A29ADE" w:rsidR="00940FD0" w:rsidRPr="00940FD0" w:rsidRDefault="00DF22F1">
      <w:pPr>
        <w:pStyle w:val="Obsah3"/>
        <w:tabs>
          <w:tab w:val="right" w:leader="dot" w:pos="9062"/>
        </w:tabs>
        <w:rPr>
          <w:rFonts w:ascii="Times New Roman" w:eastAsiaTheme="minorEastAsia" w:hAnsi="Times New Roman" w:cs="Times New Roman"/>
          <w:noProof/>
          <w:lang w:eastAsia="cs-CZ"/>
        </w:rPr>
      </w:pPr>
      <w:hyperlink w:anchor="_Toc94609632" w:history="1">
        <w:r w:rsidR="00940FD0" w:rsidRPr="00940FD0">
          <w:rPr>
            <w:rStyle w:val="Hypertextovodkaz"/>
            <w:rFonts w:ascii="Times New Roman" w:hAnsi="Times New Roman" w:cs="Times New Roman"/>
            <w:noProof/>
          </w:rPr>
          <w:t>Zásady k průtokovým transferům včetně příkladů položek</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_Toc94609632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19</w:t>
        </w:r>
        <w:r w:rsidR="00940FD0" w:rsidRPr="00940FD0">
          <w:rPr>
            <w:rFonts w:ascii="Times New Roman" w:hAnsi="Times New Roman" w:cs="Times New Roman"/>
            <w:noProof/>
            <w:webHidden/>
          </w:rPr>
          <w:fldChar w:fldCharType="end"/>
        </w:r>
      </w:hyperlink>
    </w:p>
    <w:p w14:paraId="29C8095E" w14:textId="37D7DEA1" w:rsidR="00940FD0" w:rsidRDefault="00DF22F1">
      <w:pPr>
        <w:pStyle w:val="Obsah3"/>
        <w:tabs>
          <w:tab w:val="right" w:leader="dot" w:pos="9062"/>
        </w:tabs>
        <w:rPr>
          <w:rFonts w:eastAsiaTheme="minorEastAsia"/>
          <w:noProof/>
          <w:lang w:eastAsia="cs-CZ"/>
        </w:rPr>
      </w:pPr>
      <w:hyperlink w:anchor="_Toc94609633" w:history="1">
        <w:r w:rsidR="00940FD0" w:rsidRPr="00940FD0">
          <w:rPr>
            <w:rStyle w:val="Hypertextovodkaz"/>
            <w:rFonts w:ascii="Times New Roman" w:hAnsi="Times New Roman" w:cs="Times New Roman"/>
            <w:noProof/>
          </w:rPr>
          <w:t>Výjimka pro zpětné značení nástrojem a prostorovým původem v běžném roce</w:t>
        </w:r>
        <w:r w:rsidR="00940FD0" w:rsidRPr="00940FD0">
          <w:rPr>
            <w:rFonts w:ascii="Times New Roman" w:hAnsi="Times New Roman" w:cs="Times New Roman"/>
            <w:noProof/>
            <w:webHidden/>
          </w:rPr>
          <w:tab/>
        </w:r>
        <w:r w:rsidR="00940FD0" w:rsidRPr="00940FD0">
          <w:rPr>
            <w:rFonts w:ascii="Times New Roman" w:hAnsi="Times New Roman" w:cs="Times New Roman"/>
            <w:noProof/>
            <w:webHidden/>
          </w:rPr>
          <w:fldChar w:fldCharType="begin"/>
        </w:r>
        <w:r w:rsidR="00940FD0" w:rsidRPr="00940FD0">
          <w:rPr>
            <w:rFonts w:ascii="Times New Roman" w:hAnsi="Times New Roman" w:cs="Times New Roman"/>
            <w:noProof/>
            <w:webHidden/>
          </w:rPr>
          <w:instrText xml:space="preserve"> PAGEREF _Toc94609633 \h </w:instrText>
        </w:r>
        <w:r w:rsidR="00940FD0" w:rsidRPr="00940FD0">
          <w:rPr>
            <w:rFonts w:ascii="Times New Roman" w:hAnsi="Times New Roman" w:cs="Times New Roman"/>
            <w:noProof/>
            <w:webHidden/>
          </w:rPr>
        </w:r>
        <w:r w:rsidR="00940FD0" w:rsidRPr="00940FD0">
          <w:rPr>
            <w:rFonts w:ascii="Times New Roman" w:hAnsi="Times New Roman" w:cs="Times New Roman"/>
            <w:noProof/>
            <w:webHidden/>
          </w:rPr>
          <w:fldChar w:fldCharType="separate"/>
        </w:r>
        <w:r w:rsidR="00940FD0" w:rsidRPr="00940FD0">
          <w:rPr>
            <w:rFonts w:ascii="Times New Roman" w:hAnsi="Times New Roman" w:cs="Times New Roman"/>
            <w:noProof/>
            <w:webHidden/>
          </w:rPr>
          <w:t>21</w:t>
        </w:r>
        <w:r w:rsidR="00940FD0" w:rsidRPr="00940FD0">
          <w:rPr>
            <w:rFonts w:ascii="Times New Roman" w:hAnsi="Times New Roman" w:cs="Times New Roman"/>
            <w:noProof/>
            <w:webHidden/>
          </w:rPr>
          <w:fldChar w:fldCharType="end"/>
        </w:r>
      </w:hyperlink>
    </w:p>
    <w:p w14:paraId="58FB0BC5" w14:textId="77777777" w:rsidR="00F00CFC" w:rsidRDefault="00F00CFC" w:rsidP="00131A88">
      <w:pPr>
        <w:rPr>
          <w:rFonts w:ascii="Times New Roman" w:hAnsi="Times New Roman" w:cs="Times New Roman"/>
          <w:b/>
          <w:bCs/>
          <w:sz w:val="24"/>
          <w:szCs w:val="24"/>
        </w:rPr>
      </w:pPr>
      <w:r>
        <w:rPr>
          <w:rFonts w:ascii="Times New Roman" w:hAnsi="Times New Roman" w:cs="Times New Roman"/>
          <w:b/>
          <w:bCs/>
          <w:sz w:val="24"/>
          <w:szCs w:val="24"/>
        </w:rPr>
        <w:fldChar w:fldCharType="end"/>
      </w:r>
    </w:p>
    <w:p w14:paraId="2C6E121C" w14:textId="10184F53" w:rsidR="00940FD0" w:rsidRDefault="00940FD0">
      <w:pPr>
        <w:rPr>
          <w:rFonts w:ascii="Times New Roman" w:hAnsi="Times New Roman" w:cs="Times New Roman"/>
          <w:b/>
          <w:bCs/>
          <w:sz w:val="24"/>
          <w:szCs w:val="24"/>
        </w:rPr>
      </w:pPr>
      <w:r>
        <w:rPr>
          <w:rFonts w:ascii="Times New Roman" w:hAnsi="Times New Roman" w:cs="Times New Roman"/>
          <w:b/>
          <w:bCs/>
          <w:sz w:val="24"/>
          <w:szCs w:val="24"/>
        </w:rPr>
        <w:br w:type="page"/>
      </w:r>
    </w:p>
    <w:p w14:paraId="0FA7DF19" w14:textId="77777777" w:rsidR="00F00CFC" w:rsidRDefault="00F00CFC" w:rsidP="00131A88">
      <w:pPr>
        <w:rPr>
          <w:rFonts w:ascii="Times New Roman" w:hAnsi="Times New Roman" w:cs="Times New Roman"/>
          <w:b/>
          <w:bCs/>
          <w:sz w:val="24"/>
          <w:szCs w:val="24"/>
        </w:rPr>
      </w:pPr>
    </w:p>
    <w:p w14:paraId="3F9FE139" w14:textId="31FF5BB6" w:rsidR="00131A88" w:rsidRPr="00154D4F" w:rsidRDefault="00131A88" w:rsidP="00131A88">
      <w:pPr>
        <w:rPr>
          <w:rFonts w:ascii="Times New Roman" w:hAnsi="Times New Roman" w:cs="Times New Roman"/>
          <w:b/>
          <w:bCs/>
          <w:sz w:val="24"/>
          <w:szCs w:val="24"/>
        </w:rPr>
      </w:pPr>
      <w:r w:rsidRPr="00154D4F">
        <w:rPr>
          <w:rFonts w:ascii="Times New Roman" w:hAnsi="Times New Roman" w:cs="Times New Roman"/>
          <w:b/>
          <w:bCs/>
          <w:sz w:val="24"/>
          <w:szCs w:val="24"/>
        </w:rPr>
        <w:t xml:space="preserve">Úvod </w:t>
      </w:r>
    </w:p>
    <w:p w14:paraId="7390152E" w14:textId="4BEFC312" w:rsidR="00131A88" w:rsidRPr="00B01315" w:rsidRDefault="00466E1B" w:rsidP="00131A88">
      <w:pPr>
        <w:rPr>
          <w:rFonts w:ascii="Times New Roman" w:hAnsi="Times New Roman" w:cs="Times New Roman"/>
          <w:sz w:val="24"/>
          <w:szCs w:val="24"/>
        </w:rPr>
      </w:pPr>
      <w:r>
        <w:rPr>
          <w:rFonts w:ascii="Times New Roman" w:hAnsi="Times New Roman" w:cs="Times New Roman"/>
          <w:sz w:val="24"/>
          <w:szCs w:val="24"/>
        </w:rPr>
        <w:t xml:space="preserve">Každoročně předkládáme </w:t>
      </w:r>
      <w:r w:rsidR="00131A88" w:rsidRPr="00B01315">
        <w:rPr>
          <w:rFonts w:ascii="Times New Roman" w:hAnsi="Times New Roman" w:cs="Times New Roman"/>
          <w:sz w:val="24"/>
          <w:szCs w:val="24"/>
        </w:rPr>
        <w:t>přehled změn novely vyhlášky</w:t>
      </w:r>
      <w:r w:rsidR="0083195D">
        <w:rPr>
          <w:rFonts w:ascii="Times New Roman" w:hAnsi="Times New Roman" w:cs="Times New Roman"/>
          <w:sz w:val="24"/>
          <w:szCs w:val="24"/>
        </w:rPr>
        <w:t xml:space="preserve"> o rozpočtové skladbě</w:t>
      </w:r>
      <w:r w:rsidR="00131A88" w:rsidRPr="00B01315">
        <w:rPr>
          <w:rFonts w:ascii="Times New Roman" w:hAnsi="Times New Roman" w:cs="Times New Roman"/>
          <w:sz w:val="24"/>
          <w:szCs w:val="24"/>
        </w:rPr>
        <w:t xml:space="preserve"> oproti poslednímu znění dle schválené a připomínkované novely. Pro rok 2022 to možné není,</w:t>
      </w:r>
      <w:r>
        <w:rPr>
          <w:rFonts w:ascii="Times New Roman" w:hAnsi="Times New Roman" w:cs="Times New Roman"/>
          <w:sz w:val="24"/>
          <w:szCs w:val="24"/>
        </w:rPr>
        <w:t xml:space="preserve"> protože vyšla nová Vyhláška č. 412/2022 Sb., o rozpočtové skladbě (nedošlo k novelizaci předpisu)</w:t>
      </w:r>
      <w:r w:rsidR="00131A88" w:rsidRPr="00B01315">
        <w:rPr>
          <w:rFonts w:ascii="Times New Roman" w:hAnsi="Times New Roman" w:cs="Times New Roman"/>
          <w:sz w:val="24"/>
          <w:szCs w:val="24"/>
        </w:rPr>
        <w:t xml:space="preserve"> ale přesto si zde nastíníme rozdíly ve vyhlášce č. 412/2021 Sb.</w:t>
      </w:r>
      <w:r w:rsidR="00131A88">
        <w:rPr>
          <w:rFonts w:ascii="Times New Roman" w:hAnsi="Times New Roman" w:cs="Times New Roman"/>
          <w:sz w:val="24"/>
          <w:szCs w:val="24"/>
        </w:rPr>
        <w:t xml:space="preserve"> (dále jen „vyhláška“, příp. „nová vyhláška“)</w:t>
      </w:r>
      <w:r w:rsidR="00131A88" w:rsidRPr="00B01315">
        <w:rPr>
          <w:rFonts w:ascii="Times New Roman" w:hAnsi="Times New Roman" w:cs="Times New Roman"/>
          <w:sz w:val="24"/>
          <w:szCs w:val="24"/>
        </w:rPr>
        <w:t xml:space="preserve"> a Pokynu MF</w:t>
      </w:r>
      <w:r w:rsidR="00131A88">
        <w:rPr>
          <w:rFonts w:ascii="Times New Roman" w:hAnsi="Times New Roman" w:cs="Times New Roman"/>
          <w:sz w:val="24"/>
          <w:szCs w:val="24"/>
        </w:rPr>
        <w:t xml:space="preserve"> k postupu podle </w:t>
      </w:r>
      <w:r w:rsidR="00131A88" w:rsidRPr="00B01315">
        <w:rPr>
          <w:rFonts w:ascii="Times New Roman" w:hAnsi="Times New Roman" w:cs="Times New Roman"/>
          <w:sz w:val="24"/>
          <w:szCs w:val="24"/>
        </w:rPr>
        <w:t>vyhláš</w:t>
      </w:r>
      <w:r w:rsidR="00131A88">
        <w:rPr>
          <w:rFonts w:ascii="Times New Roman" w:hAnsi="Times New Roman" w:cs="Times New Roman"/>
          <w:sz w:val="24"/>
          <w:szCs w:val="24"/>
        </w:rPr>
        <w:t>ky</w:t>
      </w:r>
      <w:r w:rsidR="00131A88" w:rsidRPr="00B01315">
        <w:rPr>
          <w:rFonts w:ascii="Times New Roman" w:hAnsi="Times New Roman" w:cs="Times New Roman"/>
          <w:sz w:val="24"/>
          <w:szCs w:val="24"/>
        </w:rPr>
        <w:t xml:space="preserve"> č. 412/2021</w:t>
      </w:r>
      <w:r w:rsidR="00131A88">
        <w:rPr>
          <w:rFonts w:ascii="Times New Roman" w:hAnsi="Times New Roman" w:cs="Times New Roman"/>
          <w:sz w:val="24"/>
          <w:szCs w:val="24"/>
        </w:rPr>
        <w:t xml:space="preserve"> Sb. (dále jen „pokynu</w:t>
      </w:r>
      <w:r>
        <w:rPr>
          <w:rFonts w:ascii="Times New Roman" w:hAnsi="Times New Roman" w:cs="Times New Roman"/>
          <w:sz w:val="24"/>
          <w:szCs w:val="24"/>
        </w:rPr>
        <w:t>“</w:t>
      </w:r>
      <w:r w:rsidR="00131A88">
        <w:rPr>
          <w:rFonts w:ascii="Times New Roman" w:hAnsi="Times New Roman" w:cs="Times New Roman"/>
          <w:sz w:val="24"/>
          <w:szCs w:val="24"/>
        </w:rPr>
        <w:t>)</w:t>
      </w:r>
      <w:r w:rsidR="00131A88" w:rsidRPr="00B01315">
        <w:rPr>
          <w:rFonts w:ascii="Times New Roman" w:hAnsi="Times New Roman" w:cs="Times New Roman"/>
          <w:sz w:val="24"/>
          <w:szCs w:val="24"/>
        </w:rPr>
        <w:t xml:space="preserve"> oproti vyhlášce č. 323/2002</w:t>
      </w:r>
      <w:r w:rsidR="00131A88">
        <w:rPr>
          <w:rFonts w:ascii="Times New Roman" w:hAnsi="Times New Roman" w:cs="Times New Roman"/>
          <w:sz w:val="24"/>
          <w:szCs w:val="24"/>
        </w:rPr>
        <w:t xml:space="preserve"> Sb.</w:t>
      </w:r>
      <w:r w:rsidR="00131A88" w:rsidRPr="00B01315">
        <w:rPr>
          <w:rFonts w:ascii="Times New Roman" w:hAnsi="Times New Roman" w:cs="Times New Roman"/>
          <w:sz w:val="24"/>
          <w:szCs w:val="24"/>
        </w:rPr>
        <w:t xml:space="preserve"> v posledním znění</w:t>
      </w:r>
      <w:r w:rsidR="00131A88">
        <w:rPr>
          <w:rFonts w:ascii="Times New Roman" w:hAnsi="Times New Roman" w:cs="Times New Roman"/>
          <w:sz w:val="24"/>
          <w:szCs w:val="24"/>
        </w:rPr>
        <w:t xml:space="preserve"> k roku 2021</w:t>
      </w:r>
      <w:r w:rsidR="00131A88" w:rsidRPr="00B01315">
        <w:rPr>
          <w:rFonts w:ascii="Times New Roman" w:hAnsi="Times New Roman" w:cs="Times New Roman"/>
          <w:sz w:val="24"/>
          <w:szCs w:val="24"/>
        </w:rPr>
        <w:t xml:space="preserve">. </w:t>
      </w:r>
      <w:r w:rsidR="0083195D">
        <w:rPr>
          <w:rFonts w:ascii="Times New Roman" w:hAnsi="Times New Roman" w:cs="Times New Roman"/>
          <w:sz w:val="24"/>
          <w:szCs w:val="24"/>
        </w:rPr>
        <w:t>Budeme se i podrobněji zabývat rozborem pokynu v oblasti pojmů a zásad.</w:t>
      </w:r>
    </w:p>
    <w:p w14:paraId="79898C81" w14:textId="77777777" w:rsidR="00131A88" w:rsidRDefault="00131A88" w:rsidP="00131A88">
      <w:pPr>
        <w:rPr>
          <w:rFonts w:ascii="Times New Roman" w:hAnsi="Times New Roman" w:cs="Times New Roman"/>
          <w:sz w:val="28"/>
          <w:szCs w:val="28"/>
        </w:rPr>
      </w:pPr>
    </w:p>
    <w:p w14:paraId="2CE02860" w14:textId="02397B10" w:rsidR="00131A88" w:rsidRPr="00593D2C" w:rsidRDefault="006B04EA" w:rsidP="006B04EA">
      <w:pPr>
        <w:pStyle w:val="Nadpis1"/>
      </w:pPr>
      <w:bookmarkStart w:id="0" w:name="_Toc94608951"/>
      <w:bookmarkStart w:id="1" w:name="_Toc94609606"/>
      <w:r>
        <w:t xml:space="preserve">1. </w:t>
      </w:r>
      <w:r w:rsidR="00131A88" w:rsidRPr="00593D2C">
        <w:t>Změny v nové vyhlášce oproti roku 2021:</w:t>
      </w:r>
      <w:bookmarkEnd w:id="0"/>
      <w:bookmarkEnd w:id="1"/>
      <w:r w:rsidR="00131A88" w:rsidRPr="00593D2C">
        <w:t xml:space="preserve"> </w:t>
      </w:r>
    </w:p>
    <w:p w14:paraId="0EDE84C7" w14:textId="6A0CC4C8" w:rsidR="00131A88" w:rsidRPr="00B01315" w:rsidRDefault="00131A88" w:rsidP="007A7192">
      <w:pPr>
        <w:rPr>
          <w:rFonts w:ascii="Times New Roman" w:hAnsi="Times New Roman" w:cs="Times New Roman"/>
          <w:sz w:val="24"/>
          <w:szCs w:val="24"/>
        </w:rPr>
      </w:pPr>
      <w:r w:rsidRPr="00B01315">
        <w:rPr>
          <w:rFonts w:ascii="Times New Roman" w:hAnsi="Times New Roman" w:cs="Times New Roman"/>
          <w:sz w:val="24"/>
          <w:szCs w:val="24"/>
        </w:rPr>
        <w:t>Dne 23. listopadu 2021 vyšla ve sbírce zákonů č. 186 Vyhláška č. 412/2021 Sb., o rozpočtové skladbě. Jedná se o novou vyhlášku, ne o novelizaci původní vyhlášky z roku 2002</w:t>
      </w:r>
      <w:r w:rsidR="00BB00CA">
        <w:rPr>
          <w:rFonts w:ascii="Times New Roman" w:hAnsi="Times New Roman" w:cs="Times New Roman"/>
          <w:sz w:val="24"/>
          <w:szCs w:val="24"/>
        </w:rPr>
        <w:t xml:space="preserve"> ve znění </w:t>
      </w:r>
    </w:p>
    <w:p w14:paraId="09988B4E" w14:textId="77777777" w:rsidR="00131A88" w:rsidRPr="00B01315" w:rsidRDefault="00131A88" w:rsidP="00131A88">
      <w:pPr>
        <w:rPr>
          <w:rFonts w:ascii="Times New Roman" w:hAnsi="Times New Roman" w:cs="Times New Roman"/>
          <w:sz w:val="24"/>
          <w:szCs w:val="24"/>
        </w:rPr>
      </w:pPr>
      <w:r w:rsidRPr="00B01315">
        <w:rPr>
          <w:rFonts w:ascii="Times New Roman" w:hAnsi="Times New Roman" w:cs="Times New Roman"/>
          <w:sz w:val="24"/>
          <w:szCs w:val="24"/>
        </w:rPr>
        <w:t>Nová vyhláška má jinou strukturu ustanovení dle jednotlivých §, ale nejedná se o žádnou významnou změnu, lze říci, že nové uspořádání</w:t>
      </w:r>
      <w:r>
        <w:rPr>
          <w:rFonts w:ascii="Times New Roman" w:hAnsi="Times New Roman" w:cs="Times New Roman"/>
          <w:sz w:val="24"/>
          <w:szCs w:val="24"/>
        </w:rPr>
        <w:t xml:space="preserve"> §</w:t>
      </w:r>
      <w:r w:rsidRPr="00B01315">
        <w:rPr>
          <w:rFonts w:ascii="Times New Roman" w:hAnsi="Times New Roman" w:cs="Times New Roman"/>
          <w:sz w:val="24"/>
          <w:szCs w:val="24"/>
        </w:rPr>
        <w:t xml:space="preserve"> je i přehlednější. </w:t>
      </w:r>
    </w:p>
    <w:p w14:paraId="3C24EDFA" w14:textId="77777777" w:rsidR="00131A88" w:rsidRPr="00B01315" w:rsidRDefault="00131A88" w:rsidP="00131A88">
      <w:pPr>
        <w:rPr>
          <w:rFonts w:ascii="Times New Roman" w:hAnsi="Times New Roman" w:cs="Times New Roman"/>
          <w:sz w:val="24"/>
          <w:szCs w:val="24"/>
        </w:rPr>
      </w:pPr>
      <w:r w:rsidRPr="00B01315">
        <w:rPr>
          <w:rFonts w:ascii="Times New Roman" w:hAnsi="Times New Roman" w:cs="Times New Roman"/>
          <w:sz w:val="24"/>
          <w:szCs w:val="24"/>
        </w:rPr>
        <w:t>Nov</w:t>
      </w:r>
      <w:r>
        <w:rPr>
          <w:rFonts w:ascii="Times New Roman" w:hAnsi="Times New Roman" w:cs="Times New Roman"/>
          <w:sz w:val="24"/>
          <w:szCs w:val="24"/>
        </w:rPr>
        <w:t>á</w:t>
      </w:r>
      <w:r w:rsidRPr="00B01315">
        <w:rPr>
          <w:rFonts w:ascii="Times New Roman" w:hAnsi="Times New Roman" w:cs="Times New Roman"/>
          <w:sz w:val="24"/>
          <w:szCs w:val="24"/>
        </w:rPr>
        <w:t xml:space="preserve"> vyhláška obsahuje přílohy pro jednotlivá třídění rozpočtovou</w:t>
      </w:r>
      <w:r>
        <w:rPr>
          <w:rFonts w:ascii="Times New Roman" w:hAnsi="Times New Roman" w:cs="Times New Roman"/>
          <w:sz w:val="24"/>
          <w:szCs w:val="24"/>
        </w:rPr>
        <w:t xml:space="preserve"> skladbou,</w:t>
      </w:r>
      <w:r w:rsidRPr="00B01315">
        <w:rPr>
          <w:rFonts w:ascii="Times New Roman" w:hAnsi="Times New Roman" w:cs="Times New Roman"/>
          <w:sz w:val="24"/>
          <w:szCs w:val="24"/>
        </w:rPr>
        <w:t xml:space="preserve"> a to č. 1 až 7. Z toho příloha č. 1, 5 a 7 se netýkají ÚSC. </w:t>
      </w:r>
    </w:p>
    <w:p w14:paraId="6FCA63F6" w14:textId="5A0DDCD3" w:rsidR="00131A88" w:rsidRPr="00B01315" w:rsidRDefault="00131A88" w:rsidP="00131A88">
      <w:pPr>
        <w:rPr>
          <w:rFonts w:ascii="Times New Roman" w:hAnsi="Times New Roman" w:cs="Times New Roman"/>
          <w:sz w:val="24"/>
          <w:szCs w:val="24"/>
        </w:rPr>
      </w:pPr>
      <w:r w:rsidRPr="00B01315">
        <w:rPr>
          <w:rFonts w:ascii="Times New Roman" w:hAnsi="Times New Roman" w:cs="Times New Roman"/>
          <w:sz w:val="24"/>
          <w:szCs w:val="24"/>
        </w:rPr>
        <w:t>V přílohách došlo k</w:t>
      </w:r>
      <w:r w:rsidR="00BB00CA">
        <w:rPr>
          <w:rFonts w:ascii="Times New Roman" w:hAnsi="Times New Roman" w:cs="Times New Roman"/>
          <w:sz w:val="24"/>
          <w:szCs w:val="24"/>
        </w:rPr>
        <w:t> </w:t>
      </w:r>
      <w:r w:rsidRPr="00B01315">
        <w:rPr>
          <w:rFonts w:ascii="Times New Roman" w:hAnsi="Times New Roman" w:cs="Times New Roman"/>
          <w:sz w:val="24"/>
          <w:szCs w:val="24"/>
        </w:rPr>
        <w:t>velk</w:t>
      </w:r>
      <w:r w:rsidR="00BB00CA">
        <w:rPr>
          <w:rFonts w:ascii="Times New Roman" w:hAnsi="Times New Roman" w:cs="Times New Roman"/>
          <w:sz w:val="24"/>
          <w:szCs w:val="24"/>
        </w:rPr>
        <w:t>ým změnám</w:t>
      </w:r>
      <w:r w:rsidRPr="00B01315">
        <w:rPr>
          <w:rFonts w:ascii="Times New Roman" w:hAnsi="Times New Roman" w:cs="Times New Roman"/>
          <w:sz w:val="24"/>
          <w:szCs w:val="24"/>
        </w:rPr>
        <w:t>, a to především v příloze č. 2 (druhové třídění – položky) a č. 3 (účelové třídění – paragrafy)</w:t>
      </w:r>
      <w:r>
        <w:rPr>
          <w:rFonts w:ascii="Times New Roman" w:hAnsi="Times New Roman" w:cs="Times New Roman"/>
          <w:sz w:val="24"/>
          <w:szCs w:val="24"/>
        </w:rPr>
        <w:t>:</w:t>
      </w:r>
      <w:r w:rsidRPr="00B01315">
        <w:rPr>
          <w:rFonts w:ascii="Times New Roman" w:hAnsi="Times New Roman" w:cs="Times New Roman"/>
          <w:sz w:val="24"/>
          <w:szCs w:val="24"/>
        </w:rPr>
        <w:t xml:space="preserve"> </w:t>
      </w:r>
    </w:p>
    <w:p w14:paraId="4269D3E5" w14:textId="77777777" w:rsidR="00131A88" w:rsidRPr="00B01315" w:rsidRDefault="00131A88" w:rsidP="00131A88">
      <w:pPr>
        <w:pStyle w:val="Odstavecseseznamem"/>
        <w:numPr>
          <w:ilvl w:val="0"/>
          <w:numId w:val="1"/>
        </w:numPr>
      </w:pPr>
      <w:r w:rsidRPr="0069475B">
        <w:rPr>
          <w:b/>
          <w:bCs/>
        </w:rPr>
        <w:t>je přejmenováno</w:t>
      </w:r>
      <w:r w:rsidRPr="00B01315">
        <w:t xml:space="preserve"> hodně položek, především příjmových, méně výdajových, a velmi málo je přejmenovaných paragrafů. Nové názvy jsou převážně jen tzv. „kosmetického charakteru“, obsahově se názvy oproti roku 2021 moc nemění. </w:t>
      </w:r>
    </w:p>
    <w:p w14:paraId="70F2D806" w14:textId="77777777" w:rsidR="00131A88" w:rsidRPr="00B01315" w:rsidRDefault="00131A88" w:rsidP="00131A88">
      <w:pPr>
        <w:ind w:left="360"/>
        <w:jc w:val="both"/>
        <w:rPr>
          <w:rFonts w:ascii="Times New Roman" w:hAnsi="Times New Roman" w:cs="Times New Roman"/>
          <w:sz w:val="24"/>
          <w:szCs w:val="24"/>
        </w:rPr>
      </w:pPr>
      <w:r w:rsidRPr="00B01315">
        <w:rPr>
          <w:rFonts w:ascii="Times New Roman" w:hAnsi="Times New Roman" w:cs="Times New Roman"/>
          <w:sz w:val="24"/>
          <w:szCs w:val="24"/>
        </w:rPr>
        <w:t>(Např. místo názvu Daň z…nově Příjem z daně…; místo Poplatku z…nově Příjem z poplatků z…, tedy často bylo doplněno do názvu jen slovo příjem nebo výdaje, dále obyvatelstvo se přejmenovalo na fyzické osoby, subjekty na osoby, subjektivita na osobnost, podnikatelský subjekt na podnikatele. Slovo „veřejné“ bylo z názv</w:t>
      </w:r>
      <w:r>
        <w:rPr>
          <w:rFonts w:ascii="Times New Roman" w:hAnsi="Times New Roman" w:cs="Times New Roman"/>
          <w:sz w:val="24"/>
          <w:szCs w:val="24"/>
        </w:rPr>
        <w:t>ů</w:t>
      </w:r>
      <w:r w:rsidRPr="00B01315">
        <w:rPr>
          <w:rFonts w:ascii="Times New Roman" w:hAnsi="Times New Roman" w:cs="Times New Roman"/>
          <w:sz w:val="24"/>
          <w:szCs w:val="24"/>
        </w:rPr>
        <w:t xml:space="preserve"> položek odstraněno (u ústředních a územních rozpočtů). Jen v několika málo případech došlo k rozšíření názvu, případně k</w:t>
      </w:r>
      <w:r>
        <w:rPr>
          <w:rFonts w:ascii="Times New Roman" w:hAnsi="Times New Roman" w:cs="Times New Roman"/>
          <w:sz w:val="24"/>
          <w:szCs w:val="24"/>
        </w:rPr>
        <w:t> </w:t>
      </w:r>
      <w:r w:rsidRPr="00B01315">
        <w:rPr>
          <w:rFonts w:ascii="Times New Roman" w:hAnsi="Times New Roman" w:cs="Times New Roman"/>
          <w:sz w:val="24"/>
          <w:szCs w:val="24"/>
        </w:rPr>
        <w:t>je</w:t>
      </w:r>
      <w:r>
        <w:rPr>
          <w:rFonts w:ascii="Times New Roman" w:hAnsi="Times New Roman" w:cs="Times New Roman"/>
          <w:sz w:val="24"/>
          <w:szCs w:val="24"/>
        </w:rPr>
        <w:t xml:space="preserve">ho </w:t>
      </w:r>
      <w:r w:rsidRPr="00B01315">
        <w:rPr>
          <w:rFonts w:ascii="Times New Roman" w:hAnsi="Times New Roman" w:cs="Times New Roman"/>
          <w:sz w:val="24"/>
          <w:szCs w:val="24"/>
        </w:rPr>
        <w:t>upřesnění (např. paragraf 4136</w:t>
      </w:r>
      <w:r w:rsidRPr="00B01315">
        <w:rPr>
          <w:rFonts w:ascii="Times New Roman" w:hAnsi="Times New Roman" w:cs="Times New Roman"/>
          <w:i/>
          <w:iCs/>
          <w:sz w:val="24"/>
          <w:szCs w:val="24"/>
        </w:rPr>
        <w:t xml:space="preserve"> </w:t>
      </w:r>
      <w:r w:rsidRPr="00B01315">
        <w:rPr>
          <w:rFonts w:ascii="Times New Roman" w:hAnsi="Times New Roman" w:cs="Times New Roman"/>
          <w:sz w:val="24"/>
          <w:szCs w:val="24"/>
        </w:rPr>
        <w:t>„Dávky pěstounské péče a zaopatřovací příspěvky“</w:t>
      </w:r>
      <w:r>
        <w:rPr>
          <w:rFonts w:ascii="Times New Roman" w:hAnsi="Times New Roman" w:cs="Times New Roman"/>
          <w:sz w:val="24"/>
          <w:szCs w:val="24"/>
        </w:rPr>
        <w:t xml:space="preserve">; do názvu </w:t>
      </w:r>
      <w:r w:rsidRPr="00B01315">
        <w:rPr>
          <w:rFonts w:ascii="Times New Roman" w:hAnsi="Times New Roman" w:cs="Times New Roman"/>
          <w:sz w:val="24"/>
          <w:szCs w:val="24"/>
        </w:rPr>
        <w:t>byly doplněny zaopatřovací příspěvky, protože se jedná o novou sociální dávku.)</w:t>
      </w:r>
    </w:p>
    <w:p w14:paraId="2F56443C" w14:textId="77777777" w:rsidR="00131A88" w:rsidRDefault="00131A88" w:rsidP="00131A88">
      <w:pPr>
        <w:pStyle w:val="Odstavecseseznamem"/>
        <w:numPr>
          <w:ilvl w:val="0"/>
          <w:numId w:val="1"/>
        </w:numPr>
        <w:jc w:val="both"/>
      </w:pPr>
      <w:r>
        <w:rPr>
          <w:b/>
          <w:bCs/>
        </w:rPr>
        <w:t>s</w:t>
      </w:r>
      <w:r w:rsidRPr="00154D4F">
        <w:rPr>
          <w:b/>
          <w:bCs/>
        </w:rPr>
        <w:t>koro všech položek a paragrafů byla z vyhlášky vyjmuta jejich náplň.</w:t>
      </w:r>
      <w:r>
        <w:t xml:space="preserve"> U některých položek a paragrafů jsou v nové vyhlášce upřesňující věty a někde uvedeny krátké poznámky. Jejich systém se nám nepodařilo rozklíčovat. </w:t>
      </w:r>
    </w:p>
    <w:p w14:paraId="1B84748F" w14:textId="77777777" w:rsidR="00131A88" w:rsidRDefault="00131A88" w:rsidP="00131A88">
      <w:pPr>
        <w:pStyle w:val="Odstavecseseznamem"/>
        <w:ind w:left="360"/>
        <w:jc w:val="both"/>
      </w:pPr>
    </w:p>
    <w:p w14:paraId="437865B8" w14:textId="77777777" w:rsidR="00131A88" w:rsidRPr="00154D4F" w:rsidRDefault="00131A88" w:rsidP="00131A88">
      <w:pPr>
        <w:pStyle w:val="Odstavecseseznamem"/>
        <w:numPr>
          <w:ilvl w:val="0"/>
          <w:numId w:val="1"/>
        </w:numPr>
        <w:jc w:val="both"/>
        <w:rPr>
          <w:b/>
          <w:bCs/>
        </w:rPr>
      </w:pPr>
      <w:r>
        <w:rPr>
          <w:b/>
          <w:bCs/>
        </w:rPr>
        <w:t>n</w:t>
      </w:r>
      <w:r w:rsidRPr="00154D4F">
        <w:rPr>
          <w:b/>
          <w:bCs/>
        </w:rPr>
        <w:t xml:space="preserve">ové položky: </w:t>
      </w:r>
    </w:p>
    <w:p w14:paraId="7CE32087" w14:textId="77777777" w:rsidR="00131A88" w:rsidRPr="00154D4F" w:rsidRDefault="00131A88" w:rsidP="00131A88">
      <w:pPr>
        <w:pStyle w:val="Odstavecseseznamem"/>
        <w:jc w:val="both"/>
        <w:rPr>
          <w:b/>
          <w:bCs/>
        </w:rPr>
      </w:pPr>
      <w:r w:rsidRPr="00154D4F">
        <w:rPr>
          <w:b/>
          <w:bCs/>
        </w:rPr>
        <w:t xml:space="preserve">  </w:t>
      </w:r>
    </w:p>
    <w:p w14:paraId="3063CF55" w14:textId="77777777" w:rsidR="00131A88" w:rsidRPr="00154D4F" w:rsidRDefault="00131A88" w:rsidP="00131A88">
      <w:pPr>
        <w:spacing w:after="120"/>
        <w:ind w:left="1588" w:hanging="1228"/>
        <w:rPr>
          <w:rFonts w:ascii="Times New Roman" w:hAnsi="Times New Roman" w:cs="Times New Roman"/>
        </w:rPr>
      </w:pPr>
      <w:r w:rsidRPr="00154D4F">
        <w:rPr>
          <w:rFonts w:ascii="Times New Roman" w:hAnsi="Times New Roman" w:cs="Times New Roman"/>
          <w:color w:val="000000"/>
          <w:u w:val="single"/>
        </w:rPr>
        <w:t>Položka 1345</w:t>
      </w:r>
      <w:r w:rsidRPr="00154D4F">
        <w:rPr>
          <w:rFonts w:ascii="Times New Roman" w:hAnsi="Times New Roman" w:cs="Times New Roman"/>
          <w:color w:val="000000"/>
        </w:rPr>
        <w:t xml:space="preserve"> – Příjem z poplatku za obecní systém odpadového hospodářství a příjem z</w:t>
      </w:r>
      <w:r>
        <w:rPr>
          <w:rFonts w:ascii="Times New Roman" w:hAnsi="Times New Roman" w:cs="Times New Roman"/>
          <w:color w:val="000000"/>
        </w:rPr>
        <w:t> </w:t>
      </w:r>
      <w:r w:rsidRPr="00154D4F">
        <w:rPr>
          <w:rFonts w:ascii="Times New Roman" w:hAnsi="Times New Roman" w:cs="Times New Roman"/>
          <w:color w:val="000000"/>
        </w:rPr>
        <w:t>poplatku</w:t>
      </w:r>
      <w:r>
        <w:rPr>
          <w:rFonts w:ascii="Times New Roman" w:hAnsi="Times New Roman" w:cs="Times New Roman"/>
          <w:color w:val="000000"/>
        </w:rPr>
        <w:t xml:space="preserve"> </w:t>
      </w:r>
      <w:r w:rsidRPr="00154D4F">
        <w:rPr>
          <w:rFonts w:ascii="Times New Roman" w:hAnsi="Times New Roman" w:cs="Times New Roman"/>
          <w:color w:val="000000"/>
        </w:rPr>
        <w:t>za odkládání komunálního odpadu z nemovité věci</w:t>
      </w:r>
    </w:p>
    <w:p w14:paraId="0015C620" w14:textId="77777777" w:rsidR="00131A88" w:rsidRPr="00154D4F" w:rsidRDefault="00131A88" w:rsidP="00131A88">
      <w:pPr>
        <w:ind w:left="360"/>
        <w:rPr>
          <w:rFonts w:ascii="Times New Roman" w:hAnsi="Times New Roman" w:cs="Times New Roman"/>
        </w:rPr>
      </w:pPr>
      <w:r w:rsidRPr="00154D4F">
        <w:rPr>
          <w:rFonts w:ascii="Times New Roman" w:hAnsi="Times New Roman" w:cs="Times New Roman"/>
          <w:color w:val="000000"/>
          <w:u w:val="single"/>
        </w:rPr>
        <w:t>Položka 5812</w:t>
      </w:r>
      <w:r w:rsidRPr="00154D4F">
        <w:rPr>
          <w:rFonts w:ascii="Times New Roman" w:hAnsi="Times New Roman" w:cs="Times New Roman"/>
          <w:color w:val="000000"/>
        </w:rPr>
        <w:t xml:space="preserve"> – Výdaje na náhrady škod způsobených nezákonným rozhodnutím nebo nesprávným úředním postupem při výkonu veřejné moci</w:t>
      </w:r>
    </w:p>
    <w:p w14:paraId="5E5E6FB9" w14:textId="77777777" w:rsidR="00131A88" w:rsidRPr="00154D4F" w:rsidRDefault="00131A88" w:rsidP="00131A88">
      <w:pPr>
        <w:pStyle w:val="Odstavecseseznamem"/>
        <w:numPr>
          <w:ilvl w:val="0"/>
          <w:numId w:val="2"/>
        </w:numPr>
        <w:rPr>
          <w:b/>
          <w:bCs/>
        </w:rPr>
      </w:pPr>
      <w:r>
        <w:rPr>
          <w:b/>
          <w:bCs/>
        </w:rPr>
        <w:t>z</w:t>
      </w:r>
      <w:r w:rsidRPr="00154D4F">
        <w:rPr>
          <w:b/>
          <w:bCs/>
        </w:rPr>
        <w:t xml:space="preserve">rušené položky: </w:t>
      </w:r>
    </w:p>
    <w:p w14:paraId="67F0EB97" w14:textId="5BDED0B2" w:rsidR="00131A88" w:rsidRPr="00BB00CA" w:rsidRDefault="00131A88" w:rsidP="00BB00CA">
      <w:pPr>
        <w:ind w:left="360"/>
        <w:rPr>
          <w:rFonts w:ascii="Times New Roman" w:hAnsi="Times New Roman" w:cs="Times New Roman"/>
          <w:sz w:val="24"/>
          <w:szCs w:val="24"/>
        </w:rPr>
      </w:pPr>
      <w:r w:rsidRPr="00BB00CA">
        <w:rPr>
          <w:rFonts w:ascii="Times New Roman" w:hAnsi="Times New Roman" w:cs="Times New Roman"/>
          <w:sz w:val="24"/>
          <w:szCs w:val="24"/>
        </w:rPr>
        <w:lastRenderedPageBreak/>
        <w:t>Např.</w:t>
      </w:r>
      <w:r w:rsidR="00E12FB3">
        <w:rPr>
          <w:rFonts w:ascii="Times New Roman" w:hAnsi="Times New Roman" w:cs="Times New Roman"/>
          <w:sz w:val="24"/>
          <w:szCs w:val="24"/>
        </w:rPr>
        <w:t xml:space="preserve"> zrušená položka</w:t>
      </w:r>
      <w:r w:rsidRPr="00BB00CA">
        <w:rPr>
          <w:rFonts w:ascii="Times New Roman" w:hAnsi="Times New Roman" w:cs="Times New Roman"/>
          <w:sz w:val="24"/>
          <w:szCs w:val="24"/>
        </w:rPr>
        <w:t xml:space="preserve"> 1340 – </w:t>
      </w:r>
      <w:r w:rsidR="0083195D" w:rsidRPr="00BB00CA">
        <w:rPr>
          <w:rFonts w:ascii="Times New Roman" w:hAnsi="Times New Roman" w:cs="Times New Roman"/>
          <w:sz w:val="24"/>
          <w:szCs w:val="24"/>
        </w:rPr>
        <w:t xml:space="preserve">oproti tomu zavedena </w:t>
      </w:r>
      <w:r w:rsidRPr="00BB00CA">
        <w:rPr>
          <w:rFonts w:ascii="Times New Roman" w:hAnsi="Times New Roman" w:cs="Times New Roman"/>
          <w:sz w:val="24"/>
          <w:szCs w:val="24"/>
        </w:rPr>
        <w:t>nová položka 1345 pro poplatky z odpadu; 2114 Mýtné; zbytkové položky 1119, 1129, 1219, 1339, 1529, 1691…; položka 1325 Daň z digitálních služeb; položky ve vztahu k</w:t>
      </w:r>
      <w:r w:rsidR="0083195D" w:rsidRPr="00BB00CA">
        <w:rPr>
          <w:rFonts w:ascii="Times New Roman" w:hAnsi="Times New Roman" w:cs="Times New Roman"/>
          <w:sz w:val="24"/>
          <w:szCs w:val="24"/>
        </w:rPr>
        <w:t>e zrušeným radám regionů soudružnosti (</w:t>
      </w:r>
      <w:r w:rsidRPr="00BB00CA">
        <w:rPr>
          <w:rFonts w:ascii="Times New Roman" w:hAnsi="Times New Roman" w:cs="Times New Roman"/>
          <w:sz w:val="24"/>
          <w:szCs w:val="24"/>
        </w:rPr>
        <w:t>RRRS</w:t>
      </w:r>
      <w:r w:rsidR="0083195D" w:rsidRPr="00BB00CA">
        <w:rPr>
          <w:rFonts w:ascii="Times New Roman" w:hAnsi="Times New Roman" w:cs="Times New Roman"/>
          <w:sz w:val="24"/>
          <w:szCs w:val="24"/>
        </w:rPr>
        <w:t>)</w:t>
      </w:r>
      <w:r w:rsidRPr="00BB00CA">
        <w:rPr>
          <w:rFonts w:ascii="Times New Roman" w:hAnsi="Times New Roman" w:cs="Times New Roman"/>
          <w:sz w:val="24"/>
          <w:szCs w:val="24"/>
        </w:rPr>
        <w:t xml:space="preserve"> vyjma položek k finančnímu vypořádání směrované na nástupce RRRS; položka 5193 Dopravní obslužnost, a </w:t>
      </w:r>
      <w:r w:rsidR="0083195D" w:rsidRPr="00BB00CA">
        <w:rPr>
          <w:rFonts w:ascii="Times New Roman" w:hAnsi="Times New Roman" w:cs="Times New Roman"/>
          <w:sz w:val="24"/>
          <w:szCs w:val="24"/>
        </w:rPr>
        <w:t>zrušení dalších položek</w:t>
      </w:r>
      <w:r w:rsidRPr="00BB00CA">
        <w:rPr>
          <w:rFonts w:ascii="Times New Roman" w:hAnsi="Times New Roman" w:cs="Times New Roman"/>
          <w:sz w:val="24"/>
          <w:szCs w:val="24"/>
        </w:rPr>
        <w:t xml:space="preserve"> pro ÚSC však nevýznamn</w:t>
      </w:r>
      <w:r w:rsidR="0083195D" w:rsidRPr="00BB00CA">
        <w:rPr>
          <w:rFonts w:ascii="Times New Roman" w:hAnsi="Times New Roman" w:cs="Times New Roman"/>
          <w:sz w:val="24"/>
          <w:szCs w:val="24"/>
        </w:rPr>
        <w:t>ých</w:t>
      </w:r>
      <w:r w:rsidRPr="00BB00CA">
        <w:rPr>
          <w:rFonts w:ascii="Times New Roman" w:hAnsi="Times New Roman" w:cs="Times New Roman"/>
          <w:sz w:val="24"/>
          <w:szCs w:val="24"/>
        </w:rPr>
        <w:t xml:space="preserve"> (např. 6720 až 6790). </w:t>
      </w:r>
    </w:p>
    <w:p w14:paraId="208AF01A" w14:textId="77777777" w:rsidR="00131A88" w:rsidRDefault="00131A88" w:rsidP="00131A88">
      <w:pPr>
        <w:pStyle w:val="Odstavecseseznamem"/>
      </w:pPr>
    </w:p>
    <w:p w14:paraId="0D29CCAC" w14:textId="77777777" w:rsidR="00131A88" w:rsidRPr="00154D4F" w:rsidRDefault="00131A88" w:rsidP="00131A88">
      <w:pPr>
        <w:pStyle w:val="Odstavecseseznamem"/>
        <w:numPr>
          <w:ilvl w:val="0"/>
          <w:numId w:val="2"/>
        </w:numPr>
        <w:rPr>
          <w:b/>
          <w:bCs/>
        </w:rPr>
      </w:pPr>
      <w:r>
        <w:rPr>
          <w:b/>
          <w:bCs/>
        </w:rPr>
        <w:t>n</w:t>
      </w:r>
      <w:r w:rsidRPr="00154D4F">
        <w:rPr>
          <w:b/>
          <w:bCs/>
        </w:rPr>
        <w:t xml:space="preserve">ový paragraf: </w:t>
      </w:r>
    </w:p>
    <w:p w14:paraId="179D90F1" w14:textId="77777777" w:rsidR="00131A88" w:rsidRPr="00BB00CA" w:rsidRDefault="00131A88" w:rsidP="00BB00CA">
      <w:pPr>
        <w:spacing w:after="120"/>
        <w:ind w:firstLine="360"/>
        <w:jc w:val="both"/>
        <w:rPr>
          <w:rFonts w:ascii="Times New Roman" w:hAnsi="Times New Roman" w:cs="Times New Roman"/>
          <w:color w:val="000000"/>
        </w:rPr>
      </w:pPr>
      <w:r w:rsidRPr="00BB00CA">
        <w:rPr>
          <w:rFonts w:ascii="Times New Roman" w:hAnsi="Times New Roman" w:cs="Times New Roman"/>
          <w:color w:val="000000"/>
          <w:u w:val="single"/>
        </w:rPr>
        <w:t>Paragraf 2521</w:t>
      </w:r>
      <w:r w:rsidRPr="00BB00CA">
        <w:rPr>
          <w:rFonts w:ascii="Times New Roman" w:hAnsi="Times New Roman" w:cs="Times New Roman"/>
          <w:color w:val="000000"/>
        </w:rPr>
        <w:t xml:space="preserve"> – Bezpečnost práce </w:t>
      </w:r>
    </w:p>
    <w:p w14:paraId="12CE38B5" w14:textId="297E3529" w:rsidR="00131A88" w:rsidRPr="00154D4F" w:rsidRDefault="00131A88" w:rsidP="00BB00CA">
      <w:pPr>
        <w:spacing w:after="120"/>
        <w:ind w:left="360"/>
        <w:jc w:val="both"/>
        <w:rPr>
          <w:rFonts w:ascii="Times New Roman" w:hAnsi="Times New Roman" w:cs="Times New Roman"/>
          <w:color w:val="000000"/>
          <w:sz w:val="24"/>
          <w:szCs w:val="24"/>
        </w:rPr>
      </w:pPr>
      <w:r w:rsidRPr="00154D4F">
        <w:rPr>
          <w:rFonts w:ascii="Times New Roman" w:hAnsi="Times New Roman" w:cs="Times New Roman"/>
          <w:b/>
          <w:bCs/>
          <w:i/>
          <w:iCs/>
          <w:color w:val="000000"/>
          <w:sz w:val="24"/>
          <w:szCs w:val="24"/>
        </w:rPr>
        <w:t>Pozn.</w:t>
      </w:r>
      <w:r w:rsidRPr="00154D4F">
        <w:rPr>
          <w:rFonts w:ascii="Times New Roman" w:hAnsi="Times New Roman" w:cs="Times New Roman"/>
          <w:i/>
          <w:iCs/>
          <w:color w:val="000000"/>
          <w:sz w:val="24"/>
          <w:szCs w:val="24"/>
        </w:rPr>
        <w:t xml:space="preserve"> </w:t>
      </w:r>
      <w:r w:rsidRPr="00154D4F">
        <w:rPr>
          <w:rFonts w:ascii="Times New Roman" w:hAnsi="Times New Roman" w:cs="Times New Roman"/>
          <w:color w:val="000000"/>
          <w:sz w:val="24"/>
          <w:szCs w:val="24"/>
        </w:rPr>
        <w:t xml:space="preserve">ÚSC </w:t>
      </w:r>
      <w:r>
        <w:rPr>
          <w:rFonts w:ascii="Times New Roman" w:hAnsi="Times New Roman" w:cs="Times New Roman"/>
          <w:color w:val="000000"/>
          <w:sz w:val="24"/>
          <w:szCs w:val="24"/>
        </w:rPr>
        <w:t xml:space="preserve">pro rok 2022 </w:t>
      </w:r>
      <w:r w:rsidRPr="00154D4F">
        <w:rPr>
          <w:rFonts w:ascii="Times New Roman" w:hAnsi="Times New Roman" w:cs="Times New Roman"/>
          <w:color w:val="000000"/>
          <w:sz w:val="24"/>
          <w:szCs w:val="24"/>
        </w:rPr>
        <w:t>asi nevyužijí,</w:t>
      </w:r>
      <w:r>
        <w:rPr>
          <w:rFonts w:ascii="Times New Roman" w:hAnsi="Times New Roman" w:cs="Times New Roman"/>
          <w:color w:val="000000"/>
          <w:sz w:val="24"/>
          <w:szCs w:val="24"/>
        </w:rPr>
        <w:t xml:space="preserve"> není nijak vymezen. N</w:t>
      </w:r>
      <w:r w:rsidRPr="00154D4F">
        <w:rPr>
          <w:rFonts w:ascii="Times New Roman" w:hAnsi="Times New Roman" w:cs="Times New Roman"/>
          <w:color w:val="000000"/>
          <w:sz w:val="24"/>
          <w:szCs w:val="24"/>
        </w:rPr>
        <w:t>emá poznámku ve vyhlášce, ani náplň v pokynu, není znám obsah, nebyl vysvětlen v důvodové zprávě. Výdaje na bezpečnost práce zaměstnanců by se měly třídit dle tzv. kmenového paragrafu (5311, 6171…). Správní orgány v oblasti bezpečnosti práce mají svůj paragraf 2565. Musíme počkat na výklad MF</w:t>
      </w:r>
      <w:r w:rsidR="0083195D">
        <w:rPr>
          <w:rFonts w:ascii="Times New Roman" w:hAnsi="Times New Roman" w:cs="Times New Roman"/>
          <w:color w:val="000000"/>
          <w:sz w:val="24"/>
          <w:szCs w:val="24"/>
        </w:rPr>
        <w:t xml:space="preserve">, v jakých případech tento paragraf použít. </w:t>
      </w:r>
      <w:r w:rsidRPr="00154D4F">
        <w:rPr>
          <w:rFonts w:ascii="Times New Roman" w:hAnsi="Times New Roman" w:cs="Times New Roman"/>
          <w:color w:val="000000"/>
          <w:sz w:val="24"/>
          <w:szCs w:val="24"/>
        </w:rPr>
        <w:t xml:space="preserve"> </w:t>
      </w:r>
    </w:p>
    <w:p w14:paraId="0C62325A" w14:textId="77777777" w:rsidR="00131A88" w:rsidRPr="0069475B" w:rsidRDefault="00131A88" w:rsidP="00131A88">
      <w:pPr>
        <w:pStyle w:val="Odstavecseseznamem"/>
        <w:numPr>
          <w:ilvl w:val="0"/>
          <w:numId w:val="2"/>
        </w:numPr>
        <w:rPr>
          <w:b/>
          <w:bCs/>
        </w:rPr>
      </w:pPr>
      <w:r>
        <w:rPr>
          <w:b/>
          <w:bCs/>
        </w:rPr>
        <w:t>z</w:t>
      </w:r>
      <w:r w:rsidRPr="0069475B">
        <w:rPr>
          <w:b/>
          <w:bCs/>
        </w:rPr>
        <w:t xml:space="preserve">rušený paragraf </w:t>
      </w:r>
    </w:p>
    <w:p w14:paraId="2E325BD2" w14:textId="69A38A1A" w:rsidR="00131A88" w:rsidRPr="00BB00CA" w:rsidRDefault="00131A88" w:rsidP="00131A88">
      <w:pPr>
        <w:pStyle w:val="Odstavecseseznamem"/>
        <w:spacing w:after="120"/>
        <w:ind w:left="360" w:firstLine="348"/>
        <w:jc w:val="both"/>
        <w:rPr>
          <w:color w:val="000000"/>
          <w:sz w:val="22"/>
          <w:szCs w:val="22"/>
        </w:rPr>
      </w:pPr>
      <w:r w:rsidRPr="00BB00CA">
        <w:rPr>
          <w:color w:val="000000"/>
          <w:sz w:val="22"/>
          <w:szCs w:val="22"/>
          <w:u w:val="single"/>
        </w:rPr>
        <w:t>Paragraf 6174</w:t>
      </w:r>
      <w:r w:rsidRPr="00BB00CA">
        <w:rPr>
          <w:color w:val="000000"/>
          <w:sz w:val="22"/>
          <w:szCs w:val="22"/>
        </w:rPr>
        <w:t xml:space="preserve"> – Činnost regionálních rad.</w:t>
      </w:r>
    </w:p>
    <w:p w14:paraId="3C0B9E91" w14:textId="77777777" w:rsidR="00CD63F9" w:rsidRPr="00BB00CA" w:rsidRDefault="00CD63F9" w:rsidP="00131A88">
      <w:pPr>
        <w:pStyle w:val="Odstavecseseznamem"/>
        <w:spacing w:after="120"/>
        <w:ind w:left="360" w:firstLine="348"/>
        <w:jc w:val="both"/>
        <w:rPr>
          <w:color w:val="000000"/>
          <w:sz w:val="22"/>
          <w:szCs w:val="22"/>
        </w:rPr>
      </w:pPr>
    </w:p>
    <w:p w14:paraId="5CF958CF" w14:textId="77777777" w:rsidR="00131A88" w:rsidRPr="002418AC" w:rsidRDefault="00131A88" w:rsidP="00131A88">
      <w:pPr>
        <w:pStyle w:val="Odstavecseseznamem"/>
        <w:ind w:left="360"/>
      </w:pPr>
    </w:p>
    <w:p w14:paraId="1B1A9CDF" w14:textId="74A3E22C" w:rsidR="00C02A5F" w:rsidRPr="00E12FB3" w:rsidRDefault="00CD63F9" w:rsidP="00C02A5F">
      <w:pPr>
        <w:pStyle w:val="Default"/>
      </w:pPr>
      <w:r w:rsidRPr="00C02A5F">
        <w:rPr>
          <w:rFonts w:ascii="Times New Roman" w:hAnsi="Times New Roman" w:cs="Times New Roman"/>
          <w:b/>
          <w:bCs/>
        </w:rPr>
        <w:t>Upozorňujeme také na rozšíření nástrojů</w:t>
      </w:r>
      <w:r w:rsidR="00C02A5F" w:rsidRPr="00C02A5F">
        <w:rPr>
          <w:rFonts w:ascii="Times New Roman" w:hAnsi="Times New Roman" w:cs="Times New Roman"/>
          <w:b/>
          <w:bCs/>
        </w:rPr>
        <w:t xml:space="preserve"> </w:t>
      </w:r>
      <w:r w:rsidR="00C02A5F" w:rsidRPr="00E12FB3">
        <w:rPr>
          <w:rFonts w:ascii="Times New Roman" w:hAnsi="Times New Roman" w:cs="Times New Roman"/>
        </w:rPr>
        <w:t>pro zajištění třídění tzv. NZUZ</w:t>
      </w:r>
      <w:r w:rsidR="00E12FB3">
        <w:rPr>
          <w:rFonts w:ascii="Times New Roman" w:hAnsi="Times New Roman" w:cs="Times New Roman"/>
        </w:rPr>
        <w:t>, tj. pro příjmy a výdaje spolufinancované ze zahraničí</w:t>
      </w:r>
      <w:r w:rsidRPr="00E12FB3">
        <w:rPr>
          <w:rFonts w:ascii="Times New Roman" w:hAnsi="Times New Roman" w:cs="Times New Roman"/>
        </w:rPr>
        <w:t xml:space="preserve">; od nástroje 122 do nástroje 197 je hodně změn a nových nástrojů. </w:t>
      </w:r>
    </w:p>
    <w:p w14:paraId="6700C7B7" w14:textId="77777777" w:rsidR="00C02A5F" w:rsidRPr="00C02A5F" w:rsidRDefault="00C02A5F" w:rsidP="00C02A5F">
      <w:pPr>
        <w:pStyle w:val="Pa7"/>
        <w:jc w:val="both"/>
        <w:rPr>
          <w:rFonts w:ascii="Times New Roman" w:hAnsi="Times New Roman" w:cs="Times New Roman"/>
        </w:rPr>
      </w:pPr>
      <w:r w:rsidRPr="00C02A5F">
        <w:rPr>
          <w:rFonts w:ascii="Times New Roman" w:hAnsi="Times New Roman" w:cs="Times New Roman"/>
        </w:rPr>
        <w:t xml:space="preserve">Číselník NÁSTROJŮ pro ÚSC naleznete na adrese </w:t>
      </w:r>
    </w:p>
    <w:p w14:paraId="303470BE" w14:textId="0EF870A7" w:rsidR="00CD63F9" w:rsidRPr="00C02A5F" w:rsidRDefault="00C02A5F" w:rsidP="00C02A5F">
      <w:pPr>
        <w:rPr>
          <w:rFonts w:ascii="Times New Roman" w:hAnsi="Times New Roman" w:cs="Times New Roman"/>
          <w:b/>
          <w:bCs/>
          <w:sz w:val="24"/>
          <w:szCs w:val="24"/>
        </w:rPr>
      </w:pPr>
      <w:r w:rsidRPr="00C02A5F">
        <w:rPr>
          <w:rStyle w:val="A4"/>
          <w:rFonts w:ascii="Times New Roman" w:hAnsi="Times New Roman" w:cs="Times New Roman"/>
          <w:sz w:val="24"/>
          <w:szCs w:val="24"/>
        </w:rPr>
        <w:t xml:space="preserve">http://www.statnipokladna.cz/cs/rispr/sprava-ciselniku </w:t>
      </w:r>
      <w:r w:rsidRPr="00C02A5F">
        <w:rPr>
          <w:rFonts w:ascii="Times New Roman" w:hAnsi="Times New Roman" w:cs="Times New Roman"/>
          <w:i/>
          <w:iCs/>
          <w:sz w:val="24"/>
          <w:szCs w:val="24"/>
        </w:rPr>
        <w:t>(dle stavu k 1.1.2022)</w:t>
      </w:r>
      <w:r>
        <w:rPr>
          <w:rFonts w:ascii="Times New Roman" w:hAnsi="Times New Roman" w:cs="Times New Roman"/>
          <w:i/>
          <w:iCs/>
          <w:sz w:val="24"/>
          <w:szCs w:val="24"/>
        </w:rPr>
        <w:t>.</w:t>
      </w:r>
    </w:p>
    <w:p w14:paraId="3A2D55FC" w14:textId="77777777" w:rsidR="00CD63F9" w:rsidRPr="00C02A5F" w:rsidRDefault="00CD63F9" w:rsidP="00131A88">
      <w:pPr>
        <w:rPr>
          <w:rFonts w:ascii="Times New Roman" w:hAnsi="Times New Roman" w:cs="Times New Roman"/>
          <w:b/>
          <w:bCs/>
          <w:sz w:val="24"/>
          <w:szCs w:val="24"/>
        </w:rPr>
      </w:pPr>
    </w:p>
    <w:p w14:paraId="64D0EF03" w14:textId="401649FD" w:rsidR="00131A88" w:rsidRPr="00593D2C" w:rsidRDefault="006B04EA" w:rsidP="006B04EA">
      <w:pPr>
        <w:pStyle w:val="Nadpis1"/>
      </w:pPr>
      <w:bookmarkStart w:id="2" w:name="_Toc94608952"/>
      <w:bookmarkStart w:id="3" w:name="_Toc94609607"/>
      <w:r>
        <w:t xml:space="preserve">2. </w:t>
      </w:r>
      <w:r w:rsidR="00131A88">
        <w:t>P</w:t>
      </w:r>
      <w:r w:rsidR="00131A88" w:rsidRPr="00593D2C">
        <w:t>okyn MF</w:t>
      </w:r>
      <w:r w:rsidR="00131A88">
        <w:t xml:space="preserve"> k postupu dle</w:t>
      </w:r>
      <w:r w:rsidR="00131A88" w:rsidRPr="00593D2C">
        <w:t> vyhlášce č. 412/2021</w:t>
      </w:r>
      <w:r w:rsidR="00131A88">
        <w:t xml:space="preserve"> a změny</w:t>
      </w:r>
      <w:r w:rsidR="00131A88" w:rsidRPr="00593D2C">
        <w:t xml:space="preserve"> oproti náplním třídění ve </w:t>
      </w:r>
      <w:r w:rsidR="00131A88">
        <w:t>v</w:t>
      </w:r>
      <w:r w:rsidR="00131A88" w:rsidRPr="00593D2C">
        <w:t>yhlášce č.323/2021 Sb</w:t>
      </w:r>
      <w:r w:rsidR="00131A88">
        <w:t>. ve znění k roku 2021</w:t>
      </w:r>
      <w:r w:rsidR="00131A88" w:rsidRPr="00593D2C">
        <w:t>.</w:t>
      </w:r>
      <w:bookmarkEnd w:id="2"/>
      <w:bookmarkEnd w:id="3"/>
      <w:r w:rsidR="00131A88" w:rsidRPr="00593D2C">
        <w:t xml:space="preserve"> </w:t>
      </w:r>
    </w:p>
    <w:p w14:paraId="0E264CFC" w14:textId="0780D4F1" w:rsidR="007A7192" w:rsidRDefault="00131A88" w:rsidP="00131A88">
      <w:pPr>
        <w:rPr>
          <w:rFonts w:ascii="Times New Roman" w:hAnsi="Times New Roman" w:cs="Times New Roman"/>
          <w:sz w:val="24"/>
          <w:szCs w:val="24"/>
        </w:rPr>
      </w:pPr>
      <w:r w:rsidRPr="00593D2C">
        <w:rPr>
          <w:rFonts w:ascii="Times New Roman" w:hAnsi="Times New Roman" w:cs="Times New Roman"/>
          <w:sz w:val="24"/>
          <w:szCs w:val="24"/>
        </w:rPr>
        <w:t xml:space="preserve">Jedná se metodiku MF, nezávazný právní předpis. </w:t>
      </w:r>
      <w:r w:rsidR="007A7192">
        <w:rPr>
          <w:rFonts w:ascii="Times New Roman" w:hAnsi="Times New Roman" w:cs="Times New Roman"/>
          <w:sz w:val="24"/>
          <w:szCs w:val="24"/>
        </w:rPr>
        <w:t xml:space="preserve">Vyhláška je závazný právní předpis, v přílohách č. 2 a č.3 (položky a paragrafy) jsou závazné jen názvy a poznámky uvedené ve vyhlášce. </w:t>
      </w:r>
    </w:p>
    <w:p w14:paraId="3E6E42EC" w14:textId="509B1F4E" w:rsidR="00131A88" w:rsidRPr="00593D2C" w:rsidRDefault="00131A88" w:rsidP="00131A88">
      <w:pPr>
        <w:rPr>
          <w:rFonts w:ascii="Times New Roman" w:hAnsi="Times New Roman" w:cs="Times New Roman"/>
          <w:sz w:val="24"/>
          <w:szCs w:val="24"/>
        </w:rPr>
      </w:pPr>
      <w:r w:rsidRPr="00593D2C">
        <w:rPr>
          <w:rFonts w:ascii="Times New Roman" w:hAnsi="Times New Roman" w:cs="Times New Roman"/>
          <w:sz w:val="24"/>
          <w:szCs w:val="24"/>
        </w:rPr>
        <w:t>S ohledem na některá velmi problematická ustanovení pokynu je právní nezávaznost</w:t>
      </w:r>
      <w:r w:rsidR="007A7192">
        <w:rPr>
          <w:rFonts w:ascii="Times New Roman" w:hAnsi="Times New Roman" w:cs="Times New Roman"/>
          <w:sz w:val="24"/>
          <w:szCs w:val="24"/>
        </w:rPr>
        <w:t xml:space="preserve"> pokynu</w:t>
      </w:r>
      <w:r w:rsidRPr="00593D2C">
        <w:rPr>
          <w:rFonts w:ascii="Times New Roman" w:hAnsi="Times New Roman" w:cs="Times New Roman"/>
          <w:sz w:val="24"/>
          <w:szCs w:val="24"/>
        </w:rPr>
        <w:t xml:space="preserve"> pro ÚSC důležitá. </w:t>
      </w:r>
    </w:p>
    <w:p w14:paraId="270A22BD" w14:textId="77777777" w:rsidR="00131A88" w:rsidRPr="00593D2C" w:rsidRDefault="00131A88" w:rsidP="00131A88">
      <w:pPr>
        <w:rPr>
          <w:rFonts w:ascii="Times New Roman" w:hAnsi="Times New Roman" w:cs="Times New Roman"/>
          <w:sz w:val="24"/>
          <w:szCs w:val="24"/>
        </w:rPr>
      </w:pPr>
      <w:r>
        <w:rPr>
          <w:rFonts w:ascii="Times New Roman" w:hAnsi="Times New Roman" w:cs="Times New Roman"/>
          <w:sz w:val="24"/>
          <w:szCs w:val="24"/>
        </w:rPr>
        <w:t>MF vydalo po</w:t>
      </w:r>
      <w:r w:rsidRPr="00593D2C">
        <w:rPr>
          <w:rFonts w:ascii="Times New Roman" w:hAnsi="Times New Roman" w:cs="Times New Roman"/>
          <w:sz w:val="24"/>
          <w:szCs w:val="24"/>
        </w:rPr>
        <w:t>kyn bez vyznačení změn, bez odůvodnění, bez připomínkování</w:t>
      </w:r>
      <w:r>
        <w:rPr>
          <w:rFonts w:ascii="Times New Roman" w:hAnsi="Times New Roman" w:cs="Times New Roman"/>
          <w:sz w:val="24"/>
          <w:szCs w:val="24"/>
        </w:rPr>
        <w:t>.</w:t>
      </w:r>
      <w:r w:rsidRPr="00593D2C">
        <w:rPr>
          <w:rFonts w:ascii="Times New Roman" w:hAnsi="Times New Roman" w:cs="Times New Roman"/>
          <w:sz w:val="24"/>
          <w:szCs w:val="24"/>
        </w:rPr>
        <w:t xml:space="preserve"> </w:t>
      </w:r>
      <w:r>
        <w:rPr>
          <w:rFonts w:ascii="Times New Roman" w:hAnsi="Times New Roman" w:cs="Times New Roman"/>
          <w:sz w:val="24"/>
          <w:szCs w:val="24"/>
        </w:rPr>
        <w:t>N</w:t>
      </w:r>
      <w:r w:rsidRPr="00593D2C">
        <w:rPr>
          <w:rFonts w:ascii="Times New Roman" w:hAnsi="Times New Roman" w:cs="Times New Roman"/>
          <w:sz w:val="24"/>
          <w:szCs w:val="24"/>
        </w:rPr>
        <w:t xml:space="preserve">a stránkách MF byl zveřejněn 16.12.2021, ale byl ještě opravován. </w:t>
      </w:r>
    </w:p>
    <w:p w14:paraId="4AE37FAE" w14:textId="77777777" w:rsidR="00131A88" w:rsidRDefault="00131A88" w:rsidP="00131A88">
      <w:pPr>
        <w:rPr>
          <w:rFonts w:ascii="Times New Roman" w:hAnsi="Times New Roman" w:cs="Times New Roman"/>
          <w:sz w:val="24"/>
          <w:szCs w:val="24"/>
        </w:rPr>
      </w:pPr>
      <w:r>
        <w:rPr>
          <w:rFonts w:ascii="Times New Roman" w:hAnsi="Times New Roman" w:cs="Times New Roman"/>
          <w:sz w:val="24"/>
          <w:szCs w:val="24"/>
        </w:rPr>
        <w:t xml:space="preserve">Pokyn je jinak strukturován, než byly obsahové náplně třídění. Pokyn má nejdříve obecnou část, kde najdeme </w:t>
      </w:r>
      <w:r w:rsidRPr="007A7192">
        <w:rPr>
          <w:rFonts w:ascii="Times New Roman" w:hAnsi="Times New Roman" w:cs="Times New Roman"/>
          <w:b/>
          <w:bCs/>
          <w:sz w:val="24"/>
          <w:szCs w:val="24"/>
        </w:rPr>
        <w:t>nadefinování pojmů a stanovení obecných zásad</w:t>
      </w:r>
      <w:r>
        <w:rPr>
          <w:rFonts w:ascii="Times New Roman" w:hAnsi="Times New Roman" w:cs="Times New Roman"/>
          <w:sz w:val="24"/>
          <w:szCs w:val="24"/>
        </w:rPr>
        <w:t xml:space="preserve"> při používání rozpočtové skladby. Většina textů k pojmům a zásadám byla vyjmuta z náplní tříd, případně i z náplní jednotlivých položek a přesunuta na začátek pokynu. </w:t>
      </w:r>
    </w:p>
    <w:p w14:paraId="14A619F2" w14:textId="0F0A4053" w:rsidR="00131A88" w:rsidRDefault="00131A88" w:rsidP="00131A88">
      <w:pPr>
        <w:rPr>
          <w:rFonts w:ascii="Times New Roman" w:hAnsi="Times New Roman" w:cs="Times New Roman"/>
          <w:sz w:val="24"/>
          <w:szCs w:val="24"/>
        </w:rPr>
      </w:pPr>
      <w:r>
        <w:rPr>
          <w:rFonts w:ascii="Times New Roman" w:hAnsi="Times New Roman" w:cs="Times New Roman"/>
          <w:sz w:val="24"/>
          <w:szCs w:val="24"/>
        </w:rPr>
        <w:t xml:space="preserve">Jedná se o </w:t>
      </w:r>
      <w:r w:rsidRPr="00BA55ED">
        <w:rPr>
          <w:rFonts w:ascii="Times New Roman" w:hAnsi="Times New Roman" w:cs="Times New Roman"/>
          <w:b/>
          <w:bCs/>
          <w:sz w:val="24"/>
          <w:szCs w:val="24"/>
        </w:rPr>
        <w:t>95 pojmů a 43 zásad</w:t>
      </w:r>
      <w:r>
        <w:rPr>
          <w:rFonts w:ascii="Times New Roman" w:hAnsi="Times New Roman" w:cs="Times New Roman"/>
          <w:sz w:val="24"/>
          <w:szCs w:val="24"/>
        </w:rPr>
        <w:t>, což je pro praktickou aplikaci metodiky dost nepříznivé</w:t>
      </w:r>
      <w:r w:rsidR="0083195D">
        <w:rPr>
          <w:rFonts w:ascii="Times New Roman" w:hAnsi="Times New Roman" w:cs="Times New Roman"/>
          <w:sz w:val="24"/>
          <w:szCs w:val="24"/>
        </w:rPr>
        <w:t>.</w:t>
      </w:r>
    </w:p>
    <w:p w14:paraId="46893E0E" w14:textId="77777777" w:rsidR="00131A88" w:rsidRDefault="00131A88" w:rsidP="00131A88">
      <w:pPr>
        <w:rPr>
          <w:rFonts w:ascii="Times New Roman" w:hAnsi="Times New Roman" w:cs="Times New Roman"/>
          <w:sz w:val="24"/>
          <w:szCs w:val="24"/>
        </w:rPr>
      </w:pPr>
      <w:r>
        <w:rPr>
          <w:rFonts w:ascii="Times New Roman" w:hAnsi="Times New Roman" w:cs="Times New Roman"/>
          <w:sz w:val="24"/>
          <w:szCs w:val="24"/>
        </w:rPr>
        <w:t xml:space="preserve">Pokyn obsahuje hodně rozdílů oproti vyhlášce z roku 2002 ve znění pozdějších předpisů, ale nejčastěji se jedná o vypuštění části náplně, případně o nové odkazy na předpisy nebo novou strukturu pokynu (často je však zachováno původní znění náplně s chybným odkazem); dále o </w:t>
      </w:r>
      <w:r>
        <w:rPr>
          <w:rFonts w:ascii="Times New Roman" w:hAnsi="Times New Roman" w:cs="Times New Roman"/>
          <w:sz w:val="24"/>
          <w:szCs w:val="24"/>
        </w:rPr>
        <w:lastRenderedPageBreak/>
        <w:t xml:space="preserve">přeházení úvodních slov, či vět, nebo o přeházení odstavců. Tyto úpravy jsou bez významného vlivu na změnu původního obsahu náplně. V několika málo případech byla náplň především u položek rozšířena, někde se pokyn v náplni položek změnil. </w:t>
      </w:r>
    </w:p>
    <w:p w14:paraId="1C010591" w14:textId="77777777" w:rsidR="00131A88" w:rsidRDefault="00131A88" w:rsidP="00131A88">
      <w:pPr>
        <w:rPr>
          <w:rFonts w:ascii="Times New Roman" w:hAnsi="Times New Roman" w:cs="Times New Roman"/>
          <w:b/>
          <w:bCs/>
          <w:sz w:val="24"/>
          <w:szCs w:val="24"/>
        </w:rPr>
      </w:pPr>
      <w:r w:rsidRPr="000649D5">
        <w:rPr>
          <w:rFonts w:ascii="Times New Roman" w:hAnsi="Times New Roman" w:cs="Times New Roman"/>
          <w:b/>
          <w:bCs/>
          <w:sz w:val="24"/>
          <w:szCs w:val="24"/>
        </w:rPr>
        <w:t>Významnější změny v pokynu k náplni položek oproti vyhlášce ve znění pro rok 2021 pro ÚSC</w:t>
      </w:r>
      <w:r>
        <w:rPr>
          <w:rFonts w:ascii="Times New Roman" w:hAnsi="Times New Roman" w:cs="Times New Roman"/>
          <w:b/>
          <w:bCs/>
          <w:sz w:val="24"/>
          <w:szCs w:val="24"/>
        </w:rPr>
        <w:t xml:space="preserve"> najdete: </w:t>
      </w:r>
    </w:p>
    <w:p w14:paraId="780CA343" w14:textId="77777777" w:rsidR="00BA4C2D" w:rsidRDefault="00131A88" w:rsidP="00131A88">
      <w:pPr>
        <w:rPr>
          <w:rFonts w:ascii="Times New Roman" w:hAnsi="Times New Roman" w:cs="Times New Roman"/>
          <w:sz w:val="24"/>
          <w:szCs w:val="24"/>
        </w:rPr>
      </w:pPr>
      <w:r>
        <w:rPr>
          <w:rFonts w:ascii="Times New Roman" w:hAnsi="Times New Roman" w:cs="Times New Roman"/>
          <w:b/>
          <w:bCs/>
          <w:sz w:val="24"/>
          <w:szCs w:val="24"/>
        </w:rPr>
        <w:t xml:space="preserve">Položka 5137 – </w:t>
      </w:r>
      <w:r w:rsidRPr="00E12EA7">
        <w:rPr>
          <w:rFonts w:ascii="Times New Roman" w:hAnsi="Times New Roman" w:cs="Times New Roman"/>
          <w:sz w:val="24"/>
          <w:szCs w:val="24"/>
        </w:rPr>
        <w:t>doporučení, jak postupovat</w:t>
      </w:r>
      <w:r>
        <w:rPr>
          <w:rFonts w:ascii="Times New Roman" w:hAnsi="Times New Roman" w:cs="Times New Roman"/>
          <w:sz w:val="24"/>
          <w:szCs w:val="24"/>
        </w:rPr>
        <w:t xml:space="preserve"> pro rok 2022</w:t>
      </w:r>
      <w:r w:rsidRPr="00E12EA7">
        <w:rPr>
          <w:rFonts w:ascii="Times New Roman" w:hAnsi="Times New Roman" w:cs="Times New Roman"/>
          <w:sz w:val="24"/>
          <w:szCs w:val="24"/>
        </w:rPr>
        <w:t xml:space="preserve"> je uvedeno </w:t>
      </w:r>
      <w:r w:rsidR="00BA4C2D">
        <w:rPr>
          <w:rFonts w:ascii="Times New Roman" w:hAnsi="Times New Roman" w:cs="Times New Roman"/>
          <w:sz w:val="24"/>
          <w:szCs w:val="24"/>
        </w:rPr>
        <w:t xml:space="preserve">níže v rozboru pokynů v oblasti pojmů. </w:t>
      </w:r>
    </w:p>
    <w:p w14:paraId="0FBC1AEC" w14:textId="4C3DC072" w:rsidR="00131A88" w:rsidRPr="00222454" w:rsidRDefault="00131A88" w:rsidP="00131A88">
      <w:pPr>
        <w:rPr>
          <w:rFonts w:ascii="Times New Roman" w:hAnsi="Times New Roman" w:cs="Times New Roman"/>
          <w:b/>
          <w:bCs/>
          <w:sz w:val="24"/>
          <w:szCs w:val="24"/>
        </w:rPr>
      </w:pPr>
      <w:r w:rsidRPr="00222454">
        <w:rPr>
          <w:rFonts w:ascii="Times New Roman" w:hAnsi="Times New Roman" w:cs="Times New Roman"/>
          <w:b/>
          <w:bCs/>
          <w:sz w:val="24"/>
          <w:szCs w:val="24"/>
        </w:rPr>
        <w:t>Položka 5811 a k tomu paragraf 2292-2295</w:t>
      </w:r>
      <w:r>
        <w:rPr>
          <w:rFonts w:ascii="Times New Roman" w:hAnsi="Times New Roman" w:cs="Times New Roman"/>
          <w:b/>
          <w:bCs/>
          <w:sz w:val="24"/>
          <w:szCs w:val="24"/>
        </w:rPr>
        <w:t>, doplnění položky 2324</w:t>
      </w:r>
    </w:p>
    <w:p w14:paraId="3E61974B" w14:textId="47266B4A" w:rsidR="00131A88" w:rsidRDefault="00131A88" w:rsidP="00131A88">
      <w:pPr>
        <w:rPr>
          <w:rFonts w:ascii="Times New Roman" w:hAnsi="Times New Roman" w:cs="Times New Roman"/>
          <w:sz w:val="24"/>
          <w:szCs w:val="24"/>
        </w:rPr>
      </w:pPr>
      <w:r w:rsidRPr="00A461B2">
        <w:rPr>
          <w:rFonts w:ascii="Times New Roman" w:hAnsi="Times New Roman" w:cs="Times New Roman"/>
          <w:b/>
          <w:bCs/>
          <w:sz w:val="24"/>
          <w:szCs w:val="24"/>
        </w:rPr>
        <w:t>Vysvětlení:</w:t>
      </w:r>
      <w:r w:rsidRPr="00222454">
        <w:rPr>
          <w:rFonts w:ascii="Times New Roman" w:hAnsi="Times New Roman" w:cs="Times New Roman"/>
          <w:sz w:val="24"/>
          <w:szCs w:val="24"/>
        </w:rPr>
        <w:t xml:space="preserve"> Vyhláškou byla zrušena položka 5193 s tím, že výdaje na dopravní obslužnost budou vykazovány </w:t>
      </w:r>
      <w:r w:rsidRPr="0073105C">
        <w:rPr>
          <w:rFonts w:ascii="Times New Roman" w:hAnsi="Times New Roman" w:cs="Times New Roman"/>
          <w:b/>
          <w:bCs/>
          <w:sz w:val="24"/>
          <w:szCs w:val="24"/>
        </w:rPr>
        <w:t>nadále jako transfery</w:t>
      </w:r>
      <w:r w:rsidRPr="00222454">
        <w:rPr>
          <w:rFonts w:ascii="Times New Roman" w:hAnsi="Times New Roman" w:cs="Times New Roman"/>
          <w:sz w:val="24"/>
          <w:szCs w:val="24"/>
        </w:rPr>
        <w:t xml:space="preserve"> (viz. důvodová zpráva). Bez projednání s kraji však pokynem byly převedeny do náhrad, tj. u krajů by se vykazovaly</w:t>
      </w:r>
      <w:r>
        <w:rPr>
          <w:rFonts w:ascii="Times New Roman" w:hAnsi="Times New Roman" w:cs="Times New Roman"/>
          <w:sz w:val="24"/>
          <w:szCs w:val="24"/>
        </w:rPr>
        <w:t xml:space="preserve"> příjmy od obcí</w:t>
      </w:r>
      <w:r w:rsidRPr="00222454">
        <w:rPr>
          <w:rFonts w:ascii="Times New Roman" w:hAnsi="Times New Roman" w:cs="Times New Roman"/>
          <w:sz w:val="24"/>
          <w:szCs w:val="24"/>
        </w:rPr>
        <w:t xml:space="preserve"> jako náhrady výdajů na položce 2324, u obcí</w:t>
      </w:r>
      <w:r>
        <w:rPr>
          <w:rFonts w:ascii="Times New Roman" w:hAnsi="Times New Roman" w:cs="Times New Roman"/>
          <w:sz w:val="24"/>
          <w:szCs w:val="24"/>
        </w:rPr>
        <w:t xml:space="preserve"> výdaje</w:t>
      </w:r>
      <w:r w:rsidRPr="00222454">
        <w:rPr>
          <w:rFonts w:ascii="Times New Roman" w:hAnsi="Times New Roman" w:cs="Times New Roman"/>
          <w:sz w:val="24"/>
          <w:szCs w:val="24"/>
        </w:rPr>
        <w:t xml:space="preserve"> jako náhrada na položce 5811.  Dle obsahu se však spíše jedná o dotace (</w:t>
      </w:r>
      <w:r>
        <w:rPr>
          <w:rFonts w:ascii="Times New Roman" w:hAnsi="Times New Roman" w:cs="Times New Roman"/>
          <w:sz w:val="24"/>
          <w:szCs w:val="24"/>
        </w:rPr>
        <w:t>splňují hlavní kritéria dotací – dobrovolnost</w:t>
      </w:r>
      <w:r w:rsidRPr="00222454">
        <w:rPr>
          <w:rFonts w:ascii="Times New Roman" w:hAnsi="Times New Roman" w:cs="Times New Roman"/>
          <w:sz w:val="24"/>
          <w:szCs w:val="24"/>
        </w:rPr>
        <w:t>, smlouvy o dotacích na dopravní obslužnost), a dále tříděním</w:t>
      </w:r>
      <w:r>
        <w:rPr>
          <w:rFonts w:ascii="Times New Roman" w:hAnsi="Times New Roman" w:cs="Times New Roman"/>
          <w:sz w:val="24"/>
          <w:szCs w:val="24"/>
        </w:rPr>
        <w:t xml:space="preserve"> dle pokynu by byla </w:t>
      </w:r>
      <w:r w:rsidRPr="00222454">
        <w:rPr>
          <w:rFonts w:ascii="Times New Roman" w:hAnsi="Times New Roman" w:cs="Times New Roman"/>
          <w:sz w:val="24"/>
          <w:szCs w:val="24"/>
        </w:rPr>
        <w:t>poškozena i konsolidace</w:t>
      </w:r>
      <w:r>
        <w:rPr>
          <w:rFonts w:ascii="Times New Roman" w:hAnsi="Times New Roman" w:cs="Times New Roman"/>
          <w:sz w:val="24"/>
          <w:szCs w:val="24"/>
        </w:rPr>
        <w:t xml:space="preserve"> na úrovní krajské i vyšší</w:t>
      </w:r>
      <w:r w:rsidRPr="00222454">
        <w:rPr>
          <w:rFonts w:ascii="Times New Roman" w:hAnsi="Times New Roman" w:cs="Times New Roman"/>
          <w:sz w:val="24"/>
          <w:szCs w:val="24"/>
        </w:rPr>
        <w:t xml:space="preserve">. Je možné, že kraje budou řešit třídění těchto výdajů jinak, než jak je v pokynu uvedeno a dají i obcím pokyny k třídění výdajů na dopravní obslužnost odlišné od pokynu. </w:t>
      </w:r>
    </w:p>
    <w:p w14:paraId="27EED8A4" w14:textId="6BF355AB" w:rsidR="008D76BC" w:rsidRPr="008D76BC" w:rsidRDefault="008D76BC" w:rsidP="00131A88">
      <w:pPr>
        <w:rPr>
          <w:rFonts w:ascii="Times New Roman" w:hAnsi="Times New Roman" w:cs="Times New Roman"/>
          <w:b/>
          <w:bCs/>
          <w:sz w:val="24"/>
          <w:szCs w:val="24"/>
          <w:u w:val="single"/>
        </w:rPr>
      </w:pPr>
      <w:r w:rsidRPr="008D76BC">
        <w:rPr>
          <w:rFonts w:ascii="Times New Roman" w:hAnsi="Times New Roman" w:cs="Times New Roman"/>
          <w:b/>
          <w:bCs/>
          <w:sz w:val="24"/>
          <w:szCs w:val="24"/>
          <w:highlight w:val="yellow"/>
          <w:u w:val="single"/>
        </w:rPr>
        <w:t>Oprava pokynu k datu 2.2.2022 (Nový pokyn na stránkách MFCR.cz)</w:t>
      </w:r>
      <w:r w:rsidRPr="008D76BC">
        <w:rPr>
          <w:rFonts w:ascii="Times New Roman" w:hAnsi="Times New Roman" w:cs="Times New Roman"/>
          <w:b/>
          <w:bCs/>
          <w:sz w:val="24"/>
          <w:szCs w:val="24"/>
          <w:u w:val="single"/>
        </w:rPr>
        <w:t xml:space="preserve"> </w:t>
      </w:r>
    </w:p>
    <w:p w14:paraId="41B92970" w14:textId="77777777" w:rsidR="008D76BC" w:rsidRPr="008D76BC" w:rsidRDefault="008D76BC" w:rsidP="008D76BC">
      <w:pPr>
        <w:outlineLvl w:val="0"/>
        <w:rPr>
          <w:rFonts w:ascii="Tahoma" w:hAnsi="Tahoma" w:cs="Tahoma"/>
          <w:sz w:val="20"/>
          <w:szCs w:val="20"/>
          <w:highlight w:val="yellow"/>
          <w:lang w:eastAsia="cs-CZ"/>
        </w:rPr>
      </w:pPr>
      <w:r w:rsidRPr="008D76BC">
        <w:rPr>
          <w:rFonts w:ascii="Tahoma" w:hAnsi="Tahoma" w:cs="Tahoma"/>
          <w:sz w:val="20"/>
          <w:szCs w:val="20"/>
          <w:highlight w:val="yellow"/>
          <w:lang w:eastAsia="cs-CZ"/>
        </w:rPr>
        <w:t>Aktualizovaný Pokyn k postupu podle vyhlášky MF č. 412/2021 Sb., o rozpočtové skladbě</w:t>
      </w:r>
    </w:p>
    <w:p w14:paraId="3DBCCD0E" w14:textId="77777777" w:rsidR="008D76BC" w:rsidRPr="008D76BC" w:rsidRDefault="008D76BC" w:rsidP="008D76BC">
      <w:pPr>
        <w:rPr>
          <w:color w:val="000000"/>
          <w:highlight w:val="yellow"/>
        </w:rPr>
      </w:pPr>
      <w:r w:rsidRPr="008D76BC">
        <w:rPr>
          <w:color w:val="000000"/>
          <w:highlight w:val="yellow"/>
        </w:rPr>
        <w:t>Vážené kolegyně, vážení kolegové,</w:t>
      </w:r>
    </w:p>
    <w:p w14:paraId="757C87A6" w14:textId="77777777" w:rsidR="008D76BC" w:rsidRPr="008D76BC" w:rsidRDefault="008D76BC" w:rsidP="008D76BC">
      <w:pPr>
        <w:rPr>
          <w:highlight w:val="yellow"/>
        </w:rPr>
      </w:pPr>
      <w:r w:rsidRPr="008D76BC">
        <w:rPr>
          <w:color w:val="000000"/>
          <w:highlight w:val="yellow"/>
        </w:rPr>
        <w:t xml:space="preserve">na základě </w:t>
      </w:r>
      <w:r w:rsidRPr="008D76BC">
        <w:rPr>
          <w:highlight w:val="yellow"/>
        </w:rPr>
        <w:t xml:space="preserve">páteční videokonference, kdy jsme diskutovali, že platby mezi krajem nebo obcí a jiným krajem nebo obcí z důvodu zajištění dopravní obslužnosti mají být transferem, a tedy chyba v Pokynu </w:t>
      </w:r>
      <w:r w:rsidRPr="008D76BC">
        <w:rPr>
          <w:color w:val="000000"/>
          <w:highlight w:val="yellow"/>
        </w:rPr>
        <w:t>k postupu podle vyhlášky MF č. 412/2021 Sb., o rozpočtové skladbě bude již pro rok 2022 upravena</w:t>
      </w:r>
      <w:r w:rsidRPr="008D76BC">
        <w:rPr>
          <w:highlight w:val="yellow"/>
        </w:rPr>
        <w:t xml:space="preserve">, </w:t>
      </w:r>
      <w:r w:rsidRPr="008D76BC">
        <w:rPr>
          <w:color w:val="000000"/>
          <w:highlight w:val="yellow"/>
        </w:rPr>
        <w:t>Vám zasílám odkaz na webové stránky MF, na kterých je zveřejněn aktualizovaný Pokyn (</w:t>
      </w:r>
      <w:hyperlink r:id="rId7" w:history="1">
        <w:r w:rsidRPr="008D76BC">
          <w:rPr>
            <w:rStyle w:val="Hypertextovodkaz"/>
            <w:highlight w:val="yellow"/>
          </w:rPr>
          <w:t>Vyhláška č. 412/2021 Sb. | 2021 | Ministerstvo financí ČR (mfcr.cz)</w:t>
        </w:r>
      </w:hyperlink>
      <w:r w:rsidRPr="008D76BC">
        <w:rPr>
          <w:highlight w:val="yellow"/>
        </w:rPr>
        <w:t>).</w:t>
      </w:r>
    </w:p>
    <w:p w14:paraId="7CB0C1B2" w14:textId="77777777" w:rsidR="008D76BC" w:rsidRPr="008D76BC" w:rsidRDefault="008D76BC" w:rsidP="008D76BC">
      <w:pPr>
        <w:rPr>
          <w:color w:val="000000"/>
          <w:highlight w:val="yellow"/>
        </w:rPr>
      </w:pPr>
      <w:r w:rsidRPr="008D76BC">
        <w:rPr>
          <w:color w:val="000000"/>
          <w:highlight w:val="yellow"/>
        </w:rPr>
        <w:t xml:space="preserve">Shrnutí úprav: </w:t>
      </w:r>
    </w:p>
    <w:p w14:paraId="2403D22F" w14:textId="77777777" w:rsidR="008D76BC" w:rsidRPr="008D76BC" w:rsidRDefault="008D76BC" w:rsidP="008D76BC">
      <w:pPr>
        <w:rPr>
          <w:highlight w:val="yellow"/>
        </w:rPr>
      </w:pPr>
      <w:r w:rsidRPr="008D76BC">
        <w:rPr>
          <w:color w:val="000000"/>
          <w:highlight w:val="yellow"/>
        </w:rPr>
        <w:t xml:space="preserve">Obsahová náplň </w:t>
      </w:r>
      <w:r w:rsidRPr="008D76BC">
        <w:rPr>
          <w:b/>
          <w:bCs/>
          <w:color w:val="000000"/>
          <w:highlight w:val="yellow"/>
        </w:rPr>
        <w:t xml:space="preserve">položek 5811 a 2324 ohledně dopravní obslužnosti </w:t>
      </w:r>
      <w:r w:rsidRPr="008D76BC">
        <w:rPr>
          <w:b/>
          <w:bCs/>
          <w:highlight w:val="yellow"/>
        </w:rPr>
        <w:t xml:space="preserve">byla </w:t>
      </w:r>
      <w:r w:rsidRPr="008D76BC">
        <w:rPr>
          <w:b/>
          <w:bCs/>
          <w:color w:val="000000"/>
          <w:highlight w:val="yellow"/>
        </w:rPr>
        <w:t>odstraněna</w:t>
      </w:r>
      <w:r w:rsidRPr="008D76BC">
        <w:rPr>
          <w:color w:val="000000"/>
          <w:highlight w:val="yellow"/>
        </w:rPr>
        <w:t>.</w:t>
      </w:r>
      <w:r w:rsidRPr="008D76BC">
        <w:rPr>
          <w:color w:val="1F497D"/>
          <w:highlight w:val="yellow"/>
        </w:rPr>
        <w:t xml:space="preserve"> </w:t>
      </w:r>
      <w:r w:rsidRPr="008D76BC">
        <w:rPr>
          <w:highlight w:val="yellow"/>
        </w:rPr>
        <w:t>Byly upraveny odstavce 5 a 6 u § 2292 a 2294</w:t>
      </w:r>
      <w:r w:rsidRPr="008D76BC">
        <w:rPr>
          <w:color w:val="000000"/>
          <w:highlight w:val="yellow"/>
        </w:rPr>
        <w:t>, konkrétně došlo ke sloučení odstavců 5 a 6 do jednoho odstavce 5.</w:t>
      </w:r>
    </w:p>
    <w:p w14:paraId="2C069BC9" w14:textId="77777777" w:rsidR="008D76BC" w:rsidRPr="008D76BC" w:rsidRDefault="008D76BC" w:rsidP="008D76BC">
      <w:pPr>
        <w:rPr>
          <w:highlight w:val="yellow"/>
        </w:rPr>
      </w:pPr>
      <w:r w:rsidRPr="008D76BC">
        <w:rPr>
          <w:highlight w:val="yellow"/>
        </w:rPr>
        <w:t>Znění § 2292 a 2294 ohledně dopravní obslužnosti, když kraj nebo obec platí kraji nebo obci:</w:t>
      </w:r>
    </w:p>
    <w:p w14:paraId="1493373A" w14:textId="77777777" w:rsidR="008D76BC" w:rsidRPr="008D76BC" w:rsidRDefault="008D76BC" w:rsidP="008D76BC">
      <w:pPr>
        <w:rPr>
          <w:color w:val="000000"/>
          <w:highlight w:val="yellow"/>
        </w:rPr>
      </w:pPr>
      <w:r w:rsidRPr="008D76BC">
        <w:rPr>
          <w:color w:val="000000"/>
          <w:highlight w:val="yellow"/>
        </w:rPr>
        <w:t>§2292</w:t>
      </w:r>
    </w:p>
    <w:p w14:paraId="6EBA714D" w14:textId="77777777" w:rsidR="008D76BC" w:rsidRPr="008D76BC" w:rsidRDefault="008D76BC" w:rsidP="008D76BC">
      <w:pPr>
        <w:rPr>
          <w:color w:val="000000"/>
          <w:highlight w:val="yellow"/>
        </w:rPr>
      </w:pPr>
      <w:r w:rsidRPr="008D76BC">
        <w:rPr>
          <w:color w:val="000000"/>
          <w:highlight w:val="yellow"/>
        </w:rPr>
        <w:t>(5) Kraje nebo obce na tento paragraf zařazují peněžní převody krajům nebo obcím, které pro ně zajišťují obslužnost linkovou dopravou a požadují po nich úhradu výdajů nebo jejich části, které kraje nebo obce na tento účel vynaložily. Z hlediska druhového jde o transfery.</w:t>
      </w:r>
    </w:p>
    <w:p w14:paraId="7B57F5F4" w14:textId="77777777" w:rsidR="008D76BC" w:rsidRPr="008D76BC" w:rsidRDefault="008D76BC" w:rsidP="008D76BC">
      <w:pPr>
        <w:rPr>
          <w:highlight w:val="yellow"/>
        </w:rPr>
      </w:pPr>
      <w:r w:rsidRPr="008D76BC">
        <w:rPr>
          <w:highlight w:val="yellow"/>
        </w:rPr>
        <w:t>§2294</w:t>
      </w:r>
    </w:p>
    <w:p w14:paraId="78839942" w14:textId="77777777" w:rsidR="008D76BC" w:rsidRDefault="008D76BC" w:rsidP="008D76BC">
      <w:r w:rsidRPr="008D76BC">
        <w:rPr>
          <w:highlight w:val="yellow"/>
        </w:rPr>
        <w:t>(5) Kraje nebo obce na tento paragraf zařazují peněžní převody krajům nebo obcím, které pro ně zajišťují obslužnost drážní dopravou a požadují po nich úhradu výdajů nebo jejich části, které kraje nebo obce na tento účel vynaložily. Z hlediska druhového jde o transfery.</w:t>
      </w:r>
    </w:p>
    <w:p w14:paraId="6B9B7BE0" w14:textId="43319243" w:rsidR="008D76BC" w:rsidRPr="0073105C" w:rsidRDefault="0073105C" w:rsidP="008D76BC">
      <w:pPr>
        <w:rPr>
          <w:b/>
          <w:bCs/>
          <w:color w:val="FF0000"/>
        </w:rPr>
      </w:pPr>
      <w:r>
        <w:rPr>
          <w:b/>
          <w:bCs/>
          <w:color w:val="FF0000"/>
        </w:rPr>
        <w:t xml:space="preserve">!!! </w:t>
      </w:r>
      <w:r w:rsidRPr="0073105C">
        <w:rPr>
          <w:b/>
          <w:bCs/>
          <w:color w:val="FF0000"/>
        </w:rPr>
        <w:t xml:space="preserve">Místo položky 5193 v jiných případech (když se neposílá </w:t>
      </w:r>
      <w:r>
        <w:rPr>
          <w:b/>
          <w:bCs/>
          <w:color w:val="FF0000"/>
        </w:rPr>
        <w:t xml:space="preserve">dotace </w:t>
      </w:r>
      <w:r w:rsidRPr="0073105C">
        <w:rPr>
          <w:b/>
          <w:bCs/>
          <w:color w:val="FF0000"/>
        </w:rPr>
        <w:t>kraj</w:t>
      </w:r>
      <w:r>
        <w:rPr>
          <w:b/>
          <w:bCs/>
          <w:color w:val="FF0000"/>
        </w:rPr>
        <w:t>ům</w:t>
      </w:r>
      <w:r w:rsidRPr="0073105C">
        <w:rPr>
          <w:b/>
          <w:bCs/>
          <w:color w:val="FF0000"/>
        </w:rPr>
        <w:t xml:space="preserve">) volíme pro rok 2022 položku neinvestičního transferu dle příjemce (např. 5213 apod.) </w:t>
      </w:r>
    </w:p>
    <w:p w14:paraId="712A67EC" w14:textId="77777777" w:rsidR="008D76BC" w:rsidRDefault="008D76BC" w:rsidP="00131A88">
      <w:pPr>
        <w:rPr>
          <w:rFonts w:ascii="Times New Roman" w:hAnsi="Times New Roman" w:cs="Times New Roman"/>
          <w:sz w:val="24"/>
          <w:szCs w:val="24"/>
        </w:rPr>
      </w:pPr>
    </w:p>
    <w:p w14:paraId="5A73731E" w14:textId="77777777" w:rsidR="008D76BC" w:rsidRDefault="008D76BC" w:rsidP="00131A88">
      <w:pPr>
        <w:rPr>
          <w:rFonts w:ascii="Times New Roman" w:hAnsi="Times New Roman" w:cs="Times New Roman"/>
          <w:sz w:val="24"/>
          <w:szCs w:val="24"/>
        </w:rPr>
      </w:pPr>
    </w:p>
    <w:p w14:paraId="0FA9F58E" w14:textId="05707ABF" w:rsidR="00BA4C2D" w:rsidRDefault="00BA4C2D" w:rsidP="00131A88">
      <w:pPr>
        <w:rPr>
          <w:rFonts w:ascii="Times New Roman" w:hAnsi="Times New Roman" w:cs="Times New Roman"/>
          <w:b/>
          <w:bCs/>
          <w:sz w:val="24"/>
          <w:szCs w:val="24"/>
        </w:rPr>
      </w:pPr>
      <w:r>
        <w:rPr>
          <w:rFonts w:ascii="Times New Roman" w:hAnsi="Times New Roman" w:cs="Times New Roman"/>
          <w:b/>
          <w:bCs/>
          <w:sz w:val="24"/>
          <w:szCs w:val="24"/>
        </w:rPr>
        <w:t>Položka 2229 – nový odst. č. 5</w:t>
      </w:r>
      <w:r w:rsidR="00CD63F9">
        <w:rPr>
          <w:rFonts w:ascii="Times New Roman" w:hAnsi="Times New Roman" w:cs="Times New Roman"/>
          <w:b/>
          <w:bCs/>
          <w:sz w:val="24"/>
          <w:szCs w:val="24"/>
        </w:rPr>
        <w:t xml:space="preserve">, rozšíření náplně </w:t>
      </w:r>
    </w:p>
    <w:p w14:paraId="6D8BF8D5" w14:textId="4C088E0E" w:rsidR="00BA4C2D" w:rsidRPr="00BA4C2D" w:rsidRDefault="00BA4C2D" w:rsidP="00BA4C2D">
      <w:pPr>
        <w:jc w:val="both"/>
        <w:rPr>
          <w:rFonts w:ascii="Algerian" w:hAnsi="Algerian"/>
          <w:iCs/>
          <w:color w:val="000000"/>
        </w:rPr>
      </w:pPr>
      <w:r>
        <w:rPr>
          <w:iCs/>
          <w:color w:val="000000"/>
        </w:rPr>
        <w:t>„</w:t>
      </w:r>
      <w:r w:rsidRPr="00BA4C2D">
        <w:rPr>
          <w:iCs/>
          <w:color w:val="000000"/>
        </w:rPr>
        <w:t>(5) Na položku 2229 také zařazují obce peněžní částky, které poukazují jimi zřízené příspěvkové organizace jakožto vratky z finančního vypořádání vztahů se státním rozpočtem, státními finančními aktivy nebo Národním fondem jejich prostřednictvím a prostřednictvím krajů organizačním složkám státu, které jim poskytly dotaci (§ 12 až 15 a 17 vyhlášky č. 367/2015 Sb. ve znění vyhlášky č. 435/2017 Sb.). Obce tyto částky při jejich přijetí zařazují na položku 2229 plusem a při jejich poukázání krajům minusem. Stejně se postupuje, je-li poskytovatelem dotace nebo jiného transferu kraj.</w:t>
      </w:r>
      <w:r>
        <w:rPr>
          <w:iCs/>
          <w:color w:val="000000"/>
        </w:rPr>
        <w:t>“</w:t>
      </w:r>
    </w:p>
    <w:p w14:paraId="40F5DDA1" w14:textId="16B5964C" w:rsidR="00131A88" w:rsidRDefault="00131A88" w:rsidP="00131A88">
      <w:pPr>
        <w:rPr>
          <w:rFonts w:ascii="Times New Roman" w:hAnsi="Times New Roman" w:cs="Times New Roman"/>
          <w:sz w:val="24"/>
          <w:szCs w:val="24"/>
        </w:rPr>
      </w:pPr>
      <w:r w:rsidRPr="00AC5246">
        <w:rPr>
          <w:rFonts w:ascii="Times New Roman" w:hAnsi="Times New Roman" w:cs="Times New Roman"/>
          <w:b/>
          <w:bCs/>
          <w:sz w:val="24"/>
          <w:szCs w:val="24"/>
        </w:rPr>
        <w:t>Položka 5424</w:t>
      </w:r>
      <w:r>
        <w:rPr>
          <w:rFonts w:ascii="Times New Roman" w:hAnsi="Times New Roman" w:cs="Times New Roman"/>
          <w:sz w:val="24"/>
          <w:szCs w:val="24"/>
        </w:rPr>
        <w:t xml:space="preserve"> – upravená náplň, rozšíř</w:t>
      </w:r>
      <w:r w:rsidR="00C02A5F">
        <w:rPr>
          <w:rFonts w:ascii="Times New Roman" w:hAnsi="Times New Roman" w:cs="Times New Roman"/>
          <w:sz w:val="24"/>
          <w:szCs w:val="24"/>
        </w:rPr>
        <w:t>ená o řešení náhrad za karantény</w:t>
      </w:r>
    </w:p>
    <w:p w14:paraId="53D06712" w14:textId="70AABFD0" w:rsidR="00C02A5F" w:rsidRDefault="00131A88" w:rsidP="00C02A5F">
      <w:pPr>
        <w:rPr>
          <w:rFonts w:ascii="Times New Roman" w:hAnsi="Times New Roman" w:cs="Times New Roman"/>
          <w:sz w:val="24"/>
          <w:szCs w:val="24"/>
        </w:rPr>
      </w:pPr>
      <w:r w:rsidRPr="00AC5246">
        <w:rPr>
          <w:rFonts w:ascii="Times New Roman" w:hAnsi="Times New Roman" w:cs="Times New Roman"/>
          <w:b/>
          <w:bCs/>
          <w:sz w:val="24"/>
          <w:szCs w:val="24"/>
        </w:rPr>
        <w:t>Položka 5</w:t>
      </w:r>
      <w:r w:rsidR="00C02A5F">
        <w:rPr>
          <w:rFonts w:ascii="Times New Roman" w:hAnsi="Times New Roman" w:cs="Times New Roman"/>
          <w:b/>
          <w:bCs/>
          <w:sz w:val="24"/>
          <w:szCs w:val="24"/>
        </w:rPr>
        <w:t>8</w:t>
      </w:r>
      <w:r w:rsidRPr="00AC5246">
        <w:rPr>
          <w:rFonts w:ascii="Times New Roman" w:hAnsi="Times New Roman" w:cs="Times New Roman"/>
          <w:b/>
          <w:bCs/>
          <w:sz w:val="24"/>
          <w:szCs w:val="24"/>
        </w:rPr>
        <w:t>12</w:t>
      </w:r>
      <w:r>
        <w:rPr>
          <w:rFonts w:ascii="Times New Roman" w:hAnsi="Times New Roman" w:cs="Times New Roman"/>
          <w:sz w:val="24"/>
          <w:szCs w:val="24"/>
        </w:rPr>
        <w:t xml:space="preserve"> </w:t>
      </w:r>
      <w:r w:rsidR="00C02A5F">
        <w:rPr>
          <w:rFonts w:ascii="Times New Roman" w:hAnsi="Times New Roman" w:cs="Times New Roman"/>
          <w:sz w:val="24"/>
          <w:szCs w:val="24"/>
        </w:rPr>
        <w:t xml:space="preserve">– nová náplň nové položky: </w:t>
      </w:r>
    </w:p>
    <w:p w14:paraId="301BBE9F" w14:textId="4F539037" w:rsidR="00CD63F9" w:rsidRPr="00C02A5F" w:rsidRDefault="00CD63F9" w:rsidP="00C02A5F">
      <w:pPr>
        <w:rPr>
          <w:rFonts w:ascii="Times New Roman" w:hAnsi="Times New Roman" w:cs="Times New Roman"/>
          <w:sz w:val="24"/>
          <w:szCs w:val="24"/>
          <w:u w:val="single"/>
        </w:rPr>
      </w:pPr>
      <w:r w:rsidRPr="00C02A5F">
        <w:rPr>
          <w:color w:val="000000"/>
          <w:u w:val="single"/>
        </w:rPr>
        <w:t>Výdaje na náhrady škod způsobených nezákonným rozhodnutím nebo nesprávným úředním postupem při výkonu veřejné moci</w:t>
      </w:r>
    </w:p>
    <w:p w14:paraId="336CA285" w14:textId="06E61782" w:rsidR="00CD63F9" w:rsidRDefault="00C02A5F" w:rsidP="00C02A5F">
      <w:pPr>
        <w:jc w:val="both"/>
        <w:rPr>
          <w:color w:val="000000"/>
        </w:rPr>
      </w:pPr>
      <w:r>
        <w:rPr>
          <w:color w:val="000000"/>
        </w:rPr>
        <w:t>„</w:t>
      </w:r>
      <w:r w:rsidR="00CD63F9" w:rsidRPr="00C02A5F">
        <w:rPr>
          <w:color w:val="000000"/>
        </w:rPr>
        <w:t>Výdaje na náhrady škod způsobených rozhodnutím nebo nesprávným úředním postupem při výkonu veřejné moci, které vynakládají organizační složky státu a územní samosprávné celky podle zákona č. 82/1998 Sb. o odpovědnosti za škodu způsobenou při výkonu veřejné moci rozhodnutím nebo nesprávným úředním postupem, ve znění pozdějších předpisů. Jsou-li v právním aktu, kterým se stanoví povinnost náhrady škody, zvlášť vyčísleny úroky, zařadí se na položku 5192 spolu s celou náhradou.</w:t>
      </w:r>
      <w:r>
        <w:rPr>
          <w:color w:val="000000"/>
        </w:rPr>
        <w:t>“</w:t>
      </w:r>
      <w:r w:rsidR="00CD63F9" w:rsidRPr="00C02A5F">
        <w:rPr>
          <w:color w:val="000000"/>
        </w:rPr>
        <w:t xml:space="preserve"> </w:t>
      </w:r>
    </w:p>
    <w:p w14:paraId="44208A74" w14:textId="3EDE1B38" w:rsidR="007A7192" w:rsidRPr="007A7192" w:rsidRDefault="007A7192" w:rsidP="00C02A5F">
      <w:pPr>
        <w:jc w:val="both"/>
        <w:rPr>
          <w:rFonts w:ascii="Times New Roman" w:hAnsi="Times New Roman" w:cs="Times New Roman"/>
          <w:color w:val="000000"/>
          <w:sz w:val="24"/>
          <w:szCs w:val="24"/>
        </w:rPr>
      </w:pPr>
      <w:r w:rsidRPr="007A7192">
        <w:rPr>
          <w:rFonts w:ascii="Times New Roman" w:hAnsi="Times New Roman" w:cs="Times New Roman"/>
          <w:color w:val="000000"/>
          <w:sz w:val="24"/>
          <w:szCs w:val="24"/>
        </w:rPr>
        <w:t xml:space="preserve">Protože je málo změn v rozpočtové skladbě pro rok 2022 můžeme se podrobněji věnovat vysvětlení pojmů a obecných zásad k používání rozpočtové skladby. </w:t>
      </w:r>
    </w:p>
    <w:p w14:paraId="489CF9F3" w14:textId="6187323E" w:rsidR="003B0F32" w:rsidRDefault="006B04EA" w:rsidP="006B04EA">
      <w:pPr>
        <w:pStyle w:val="Nadpis1"/>
      </w:pPr>
      <w:bookmarkStart w:id="4" w:name="_Toc94608953"/>
      <w:bookmarkStart w:id="5" w:name="_Toc94609608"/>
      <w:r>
        <w:t xml:space="preserve">3.  </w:t>
      </w:r>
      <w:r w:rsidR="00946652">
        <w:t>Rozbor</w:t>
      </w:r>
      <w:r>
        <w:t xml:space="preserve"> pokynu v oblasti pojmů pro účely rozpočtové skladby</w:t>
      </w:r>
      <w:bookmarkEnd w:id="4"/>
      <w:bookmarkEnd w:id="5"/>
      <w:r>
        <w:t xml:space="preserve"> </w:t>
      </w:r>
    </w:p>
    <w:p w14:paraId="21009908" w14:textId="2EFB88A6" w:rsidR="006B04EA" w:rsidRPr="00E83CD8" w:rsidRDefault="006B04EA" w:rsidP="006B04EA">
      <w:pPr>
        <w:rPr>
          <w:rFonts w:ascii="Times New Roman" w:hAnsi="Times New Roman" w:cs="Times New Roman"/>
          <w:sz w:val="24"/>
          <w:szCs w:val="24"/>
        </w:rPr>
      </w:pPr>
    </w:p>
    <w:p w14:paraId="02B607C6" w14:textId="0C9B7C64" w:rsidR="006B04EA" w:rsidRDefault="006B04EA" w:rsidP="006B04EA">
      <w:pPr>
        <w:rPr>
          <w:rFonts w:ascii="Times New Roman" w:hAnsi="Times New Roman" w:cs="Times New Roman"/>
          <w:sz w:val="24"/>
          <w:szCs w:val="24"/>
        </w:rPr>
      </w:pPr>
      <w:r w:rsidRPr="00E83CD8">
        <w:rPr>
          <w:rFonts w:ascii="Times New Roman" w:hAnsi="Times New Roman" w:cs="Times New Roman"/>
          <w:sz w:val="24"/>
          <w:szCs w:val="24"/>
        </w:rPr>
        <w:t xml:space="preserve">V pokynu MF je vymezeno 95 pojmů pro účely rozpočtové skladby. </w:t>
      </w:r>
      <w:r w:rsidR="009D45E0">
        <w:rPr>
          <w:rFonts w:ascii="Times New Roman" w:hAnsi="Times New Roman" w:cs="Times New Roman"/>
          <w:sz w:val="24"/>
          <w:szCs w:val="24"/>
        </w:rPr>
        <w:t xml:space="preserve">Pořadí pojmů v </w:t>
      </w:r>
      <w:r w:rsidR="009D45E0" w:rsidRPr="00E83CD8">
        <w:rPr>
          <w:rFonts w:ascii="Times New Roman" w:hAnsi="Times New Roman" w:cs="Times New Roman"/>
          <w:sz w:val="24"/>
          <w:szCs w:val="24"/>
        </w:rPr>
        <w:t>pokynu</w:t>
      </w:r>
      <w:r w:rsidRPr="00E83CD8">
        <w:rPr>
          <w:rFonts w:ascii="Times New Roman" w:hAnsi="Times New Roman" w:cs="Times New Roman"/>
          <w:sz w:val="24"/>
          <w:szCs w:val="24"/>
        </w:rPr>
        <w:t xml:space="preserve"> nemá žádný systém (případně nebyl vysledován). I pojmy spolu úz</w:t>
      </w:r>
      <w:r w:rsidR="00E83CD8" w:rsidRPr="00E83CD8">
        <w:rPr>
          <w:rFonts w:ascii="Times New Roman" w:hAnsi="Times New Roman" w:cs="Times New Roman"/>
          <w:sz w:val="24"/>
          <w:szCs w:val="24"/>
        </w:rPr>
        <w:t>c</w:t>
      </w:r>
      <w:r w:rsidRPr="00E83CD8">
        <w:rPr>
          <w:rFonts w:ascii="Times New Roman" w:hAnsi="Times New Roman" w:cs="Times New Roman"/>
          <w:sz w:val="24"/>
          <w:szCs w:val="24"/>
        </w:rPr>
        <w:t>e související jsou „rozházeny“ napříč</w:t>
      </w:r>
      <w:r w:rsidR="00E12FB3">
        <w:rPr>
          <w:rFonts w:ascii="Times New Roman" w:hAnsi="Times New Roman" w:cs="Times New Roman"/>
          <w:sz w:val="24"/>
          <w:szCs w:val="24"/>
        </w:rPr>
        <w:t xml:space="preserve"> celou</w:t>
      </w:r>
      <w:r w:rsidRPr="00E83CD8">
        <w:rPr>
          <w:rFonts w:ascii="Times New Roman" w:hAnsi="Times New Roman" w:cs="Times New Roman"/>
          <w:sz w:val="24"/>
          <w:szCs w:val="24"/>
        </w:rPr>
        <w:t xml:space="preserve"> </w:t>
      </w:r>
      <w:r w:rsidR="00E12FB3">
        <w:rPr>
          <w:rFonts w:ascii="Times New Roman" w:hAnsi="Times New Roman" w:cs="Times New Roman"/>
          <w:sz w:val="24"/>
          <w:szCs w:val="24"/>
        </w:rPr>
        <w:t xml:space="preserve">částí </w:t>
      </w:r>
      <w:r w:rsidRPr="00E83CD8">
        <w:rPr>
          <w:rFonts w:ascii="Times New Roman" w:hAnsi="Times New Roman" w:cs="Times New Roman"/>
          <w:sz w:val="24"/>
          <w:szCs w:val="24"/>
        </w:rPr>
        <w:t>pokyn</w:t>
      </w:r>
      <w:r w:rsidR="00E12FB3">
        <w:rPr>
          <w:rFonts w:ascii="Times New Roman" w:hAnsi="Times New Roman" w:cs="Times New Roman"/>
          <w:sz w:val="24"/>
          <w:szCs w:val="24"/>
        </w:rPr>
        <w:t>u k pojmům</w:t>
      </w:r>
      <w:r w:rsidRPr="00E83CD8">
        <w:rPr>
          <w:rFonts w:ascii="Times New Roman" w:hAnsi="Times New Roman" w:cs="Times New Roman"/>
          <w:sz w:val="24"/>
          <w:szCs w:val="24"/>
        </w:rPr>
        <w:t>. Např. pojmy k vymezení majetku řeší body</w:t>
      </w:r>
      <w:r w:rsidR="004C1CEE">
        <w:rPr>
          <w:rFonts w:ascii="Times New Roman" w:hAnsi="Times New Roman" w:cs="Times New Roman"/>
          <w:sz w:val="24"/>
          <w:szCs w:val="24"/>
        </w:rPr>
        <w:t xml:space="preserve"> č. </w:t>
      </w:r>
      <w:r w:rsidRPr="00E83CD8">
        <w:rPr>
          <w:rFonts w:ascii="Times New Roman" w:hAnsi="Times New Roman" w:cs="Times New Roman"/>
          <w:sz w:val="24"/>
          <w:szCs w:val="24"/>
        </w:rPr>
        <w:t xml:space="preserve"> </w:t>
      </w:r>
      <w:r w:rsidR="00E83CD8" w:rsidRPr="00E83CD8">
        <w:rPr>
          <w:rFonts w:ascii="Times New Roman" w:hAnsi="Times New Roman" w:cs="Times New Roman"/>
          <w:sz w:val="24"/>
          <w:szCs w:val="24"/>
        </w:rPr>
        <w:t>1,11,23,28-30,48</w:t>
      </w:r>
      <w:r w:rsidR="009D45E0">
        <w:rPr>
          <w:rFonts w:ascii="Times New Roman" w:hAnsi="Times New Roman" w:cs="Times New Roman"/>
          <w:sz w:val="24"/>
          <w:szCs w:val="24"/>
        </w:rPr>
        <w:t xml:space="preserve">-50, </w:t>
      </w:r>
      <w:r w:rsidR="00E83CD8" w:rsidRPr="00E83CD8">
        <w:rPr>
          <w:rFonts w:ascii="Times New Roman" w:hAnsi="Times New Roman" w:cs="Times New Roman"/>
          <w:sz w:val="24"/>
          <w:szCs w:val="24"/>
        </w:rPr>
        <w:t xml:space="preserve">73,74. Pokladnu oddělenou řeší pojem </w:t>
      </w:r>
      <w:r w:rsidR="004C1CEE">
        <w:rPr>
          <w:rFonts w:ascii="Times New Roman" w:hAnsi="Times New Roman" w:cs="Times New Roman"/>
          <w:sz w:val="24"/>
          <w:szCs w:val="24"/>
        </w:rPr>
        <w:t xml:space="preserve">č. </w:t>
      </w:r>
      <w:r w:rsidR="00E83CD8" w:rsidRPr="00E83CD8">
        <w:rPr>
          <w:rFonts w:ascii="Times New Roman" w:hAnsi="Times New Roman" w:cs="Times New Roman"/>
          <w:sz w:val="24"/>
          <w:szCs w:val="24"/>
        </w:rPr>
        <w:t xml:space="preserve">39, pokladnu vyúčtovávanou (zálohovou) pojem č. 90. </w:t>
      </w:r>
      <w:r w:rsidR="009D45E0">
        <w:rPr>
          <w:rFonts w:ascii="Times New Roman" w:hAnsi="Times New Roman" w:cs="Times New Roman"/>
          <w:sz w:val="24"/>
          <w:szCs w:val="24"/>
        </w:rPr>
        <w:t xml:space="preserve">V textech u bodu 3.2. jsme se pokusili pojmy setřídit dle vzájemných souvislostí. </w:t>
      </w:r>
    </w:p>
    <w:p w14:paraId="6EB9A74B" w14:textId="02299932" w:rsidR="004C1CEE" w:rsidRDefault="004C1CEE" w:rsidP="004C1CEE">
      <w:pPr>
        <w:pStyle w:val="Nadpis2"/>
      </w:pPr>
      <w:bookmarkStart w:id="6" w:name="_Toc94608954"/>
      <w:bookmarkStart w:id="7" w:name="_Toc94609609"/>
      <w:r>
        <w:t xml:space="preserve">3.1. </w:t>
      </w:r>
      <w:r w:rsidRPr="004C1CEE">
        <w:t>Nepřínosné</w:t>
      </w:r>
      <w:r>
        <w:t xml:space="preserve"> pojmy</w:t>
      </w:r>
      <w:bookmarkEnd w:id="6"/>
      <w:bookmarkEnd w:id="7"/>
      <w:r>
        <w:t xml:space="preserve"> </w:t>
      </w:r>
    </w:p>
    <w:p w14:paraId="56D7ACBB" w14:textId="6808448B" w:rsidR="00D41990" w:rsidRDefault="004C1CEE" w:rsidP="006B04EA">
      <w:pPr>
        <w:rPr>
          <w:rFonts w:ascii="Times New Roman" w:hAnsi="Times New Roman" w:cs="Times New Roman"/>
          <w:sz w:val="24"/>
          <w:szCs w:val="24"/>
        </w:rPr>
      </w:pPr>
      <w:r>
        <w:rPr>
          <w:rFonts w:ascii="Times New Roman" w:hAnsi="Times New Roman" w:cs="Times New Roman"/>
          <w:sz w:val="24"/>
          <w:szCs w:val="24"/>
        </w:rPr>
        <w:t xml:space="preserve">Pojmy obsahují i hodně </w:t>
      </w:r>
      <w:r w:rsidRPr="00903BDF">
        <w:rPr>
          <w:rFonts w:ascii="Times New Roman" w:hAnsi="Times New Roman" w:cs="Times New Roman"/>
          <w:b/>
          <w:bCs/>
          <w:sz w:val="24"/>
          <w:szCs w:val="24"/>
        </w:rPr>
        <w:t>definic obecných pojmů</w:t>
      </w:r>
      <w:r>
        <w:rPr>
          <w:rFonts w:ascii="Times New Roman" w:hAnsi="Times New Roman" w:cs="Times New Roman"/>
          <w:sz w:val="24"/>
          <w:szCs w:val="24"/>
        </w:rPr>
        <w:t xml:space="preserve">, které nejsou pro účely rozpočtové skladby nijak rozdílně </w:t>
      </w:r>
      <w:r w:rsidR="00903BDF">
        <w:rPr>
          <w:rFonts w:ascii="Times New Roman" w:hAnsi="Times New Roman" w:cs="Times New Roman"/>
          <w:sz w:val="24"/>
          <w:szCs w:val="24"/>
        </w:rPr>
        <w:t xml:space="preserve">od obecného smyslu </w:t>
      </w:r>
      <w:r>
        <w:rPr>
          <w:rFonts w:ascii="Times New Roman" w:hAnsi="Times New Roman" w:cs="Times New Roman"/>
          <w:sz w:val="24"/>
          <w:szCs w:val="24"/>
        </w:rPr>
        <w:t xml:space="preserve">vymezeny, přesto je u nich pokus o „nějakou definici“. Jsou to definice typu: „Dodavatelské pořízení je pořízení dodávkou. Dodávka je získání něčeho od někoho…“. </w:t>
      </w:r>
      <w:r w:rsidR="00D41990">
        <w:rPr>
          <w:rFonts w:ascii="Times New Roman" w:hAnsi="Times New Roman" w:cs="Times New Roman"/>
          <w:sz w:val="24"/>
          <w:szCs w:val="24"/>
        </w:rPr>
        <w:t xml:space="preserve">Jedná se i o pojmy, které jsou v praxi pracovníkům, kteří používají rozpočtovou skladbu důvěrně známy. </w:t>
      </w:r>
    </w:p>
    <w:p w14:paraId="5C5B3B91" w14:textId="046F2695" w:rsidR="004C1CEE" w:rsidRDefault="004C1CEE" w:rsidP="006B04EA">
      <w:pPr>
        <w:rPr>
          <w:rFonts w:ascii="Times New Roman" w:hAnsi="Times New Roman" w:cs="Times New Roman"/>
          <w:sz w:val="24"/>
          <w:szCs w:val="24"/>
        </w:rPr>
      </w:pPr>
      <w:r>
        <w:rPr>
          <w:rFonts w:ascii="Times New Roman" w:hAnsi="Times New Roman" w:cs="Times New Roman"/>
          <w:sz w:val="24"/>
          <w:szCs w:val="24"/>
        </w:rPr>
        <w:t xml:space="preserve">V pokynu jsme vytipovali takovýchto pojmů </w:t>
      </w:r>
      <w:r w:rsidR="00E12FB3">
        <w:rPr>
          <w:rFonts w:ascii="Times New Roman" w:hAnsi="Times New Roman" w:cs="Times New Roman"/>
          <w:sz w:val="24"/>
          <w:szCs w:val="24"/>
        </w:rPr>
        <w:t>cca 25</w:t>
      </w:r>
      <w:r>
        <w:rPr>
          <w:rFonts w:ascii="Times New Roman" w:hAnsi="Times New Roman" w:cs="Times New Roman"/>
          <w:sz w:val="24"/>
          <w:szCs w:val="24"/>
        </w:rPr>
        <w:t xml:space="preserve">. </w:t>
      </w:r>
      <w:r w:rsidR="00D32851">
        <w:rPr>
          <w:rFonts w:ascii="Times New Roman" w:hAnsi="Times New Roman" w:cs="Times New Roman"/>
          <w:sz w:val="24"/>
          <w:szCs w:val="24"/>
        </w:rPr>
        <w:t>Není potřeba se jimi nějak více zabývat.</w:t>
      </w:r>
    </w:p>
    <w:p w14:paraId="4B47F591" w14:textId="25C7C677" w:rsidR="004C1CEE" w:rsidRDefault="004C1CEE" w:rsidP="006B04EA">
      <w:pPr>
        <w:rPr>
          <w:rFonts w:ascii="Times New Roman" w:hAnsi="Times New Roman" w:cs="Times New Roman"/>
          <w:sz w:val="24"/>
          <w:szCs w:val="24"/>
        </w:rPr>
      </w:pPr>
      <w:r>
        <w:rPr>
          <w:rFonts w:ascii="Times New Roman" w:hAnsi="Times New Roman" w:cs="Times New Roman"/>
          <w:sz w:val="24"/>
          <w:szCs w:val="24"/>
        </w:rPr>
        <w:t>Jedná se o</w:t>
      </w:r>
      <w:r w:rsidR="00903BDF">
        <w:rPr>
          <w:rFonts w:ascii="Times New Roman" w:hAnsi="Times New Roman" w:cs="Times New Roman"/>
          <w:sz w:val="24"/>
          <w:szCs w:val="24"/>
        </w:rPr>
        <w:t xml:space="preserve"> pojmy</w:t>
      </w:r>
      <w:r>
        <w:rPr>
          <w:rFonts w:ascii="Times New Roman" w:hAnsi="Times New Roman" w:cs="Times New Roman"/>
          <w:sz w:val="24"/>
          <w:szCs w:val="24"/>
        </w:rPr>
        <w:t xml:space="preserve">: č. 5 Dobropis; </w:t>
      </w:r>
      <w:r w:rsidR="00903BDF">
        <w:rPr>
          <w:rFonts w:ascii="Times New Roman" w:hAnsi="Times New Roman" w:cs="Times New Roman"/>
          <w:sz w:val="24"/>
          <w:szCs w:val="24"/>
        </w:rPr>
        <w:t xml:space="preserve">č.6 a 7 Dodavatelské pořízení, č. 8 Dodávka, č. 15 Informace, č. 22 Konzumace lidskými smysly (toto je pokyn až trochu bizarní, při jeho rozpisu v náplni u položky 5136, se v přeneseném smyslu dovíte, že za oči se považují i oči </w:t>
      </w:r>
      <w:r w:rsidR="00903BDF">
        <w:rPr>
          <w:rFonts w:ascii="Times New Roman" w:hAnsi="Times New Roman" w:cs="Times New Roman"/>
          <w:sz w:val="24"/>
          <w:szCs w:val="24"/>
        </w:rPr>
        <w:lastRenderedPageBreak/>
        <w:t xml:space="preserve">s brýlemi nebo zvětšovacími skly, za uši i uši s naslouchadly).  Dále pojem č. 24 Materiál, č. 33 Nedoplatek, č. 46 </w:t>
      </w:r>
      <w:r w:rsidR="00F7587C">
        <w:rPr>
          <w:rFonts w:ascii="Times New Roman" w:hAnsi="Times New Roman" w:cs="Times New Roman"/>
          <w:sz w:val="24"/>
          <w:szCs w:val="24"/>
        </w:rPr>
        <w:t>Peněžní prostředky</w:t>
      </w:r>
      <w:r w:rsidR="00903BDF">
        <w:rPr>
          <w:rFonts w:ascii="Times New Roman" w:hAnsi="Times New Roman" w:cs="Times New Roman"/>
          <w:sz w:val="24"/>
          <w:szCs w:val="24"/>
        </w:rPr>
        <w:t xml:space="preserve">, č. </w:t>
      </w:r>
      <w:r w:rsidR="00D41990">
        <w:rPr>
          <w:rFonts w:ascii="Times New Roman" w:hAnsi="Times New Roman" w:cs="Times New Roman"/>
          <w:sz w:val="24"/>
          <w:szCs w:val="24"/>
        </w:rPr>
        <w:t xml:space="preserve">47 Poddodávka, č. 51-56 Pořízení (pořízení hodnoty, práce, služby, věci, věci ve vlastní režii, výkonu), č. 62 Přeplatek, č. 63 Příjem transferu, č. 64. Příjem peněz, č. 70 Služba, č. 71. Splátka, </w:t>
      </w:r>
      <w:r w:rsidR="00F7587C">
        <w:rPr>
          <w:rFonts w:ascii="Times New Roman" w:hAnsi="Times New Roman" w:cs="Times New Roman"/>
          <w:sz w:val="24"/>
          <w:szCs w:val="24"/>
        </w:rPr>
        <w:t xml:space="preserve">č. 81 Úhrada, </w:t>
      </w:r>
      <w:r w:rsidR="00D41990">
        <w:rPr>
          <w:rFonts w:ascii="Times New Roman" w:hAnsi="Times New Roman" w:cs="Times New Roman"/>
          <w:sz w:val="24"/>
          <w:szCs w:val="24"/>
        </w:rPr>
        <w:t xml:space="preserve">č. 88 Výdaj peněz, č. 89 Výkon, č. 94 Záloha, č. 95 Zaúčtování. </w:t>
      </w:r>
    </w:p>
    <w:p w14:paraId="3D4AA2F5" w14:textId="77777777" w:rsidR="0045534D" w:rsidRDefault="0045534D" w:rsidP="00F7587C">
      <w:pPr>
        <w:pStyle w:val="Nadpis2"/>
      </w:pPr>
    </w:p>
    <w:p w14:paraId="7C1599B2" w14:textId="78F07F25" w:rsidR="00F7587C" w:rsidRDefault="00F7587C" w:rsidP="00F7587C">
      <w:pPr>
        <w:pStyle w:val="Nadpis2"/>
      </w:pPr>
      <w:bookmarkStart w:id="8" w:name="_Toc94608955"/>
      <w:bookmarkStart w:id="9" w:name="_Toc94609610"/>
      <w:r>
        <w:t>3.2. Pojmy přínosné pro práci s rozpočtovou skladbou a pro pochopení systému</w:t>
      </w:r>
      <w:bookmarkEnd w:id="8"/>
      <w:bookmarkEnd w:id="9"/>
      <w:r>
        <w:t xml:space="preserve"> </w:t>
      </w:r>
    </w:p>
    <w:p w14:paraId="572C892F" w14:textId="32383889" w:rsidR="00A87B64" w:rsidRPr="00A87B64" w:rsidRDefault="00A87B64" w:rsidP="00F7587C">
      <w:pPr>
        <w:rPr>
          <w:rFonts w:ascii="Times New Roman" w:hAnsi="Times New Roman" w:cs="Times New Roman"/>
          <w:sz w:val="24"/>
          <w:szCs w:val="24"/>
        </w:rPr>
      </w:pPr>
      <w:r w:rsidRPr="00A87B64">
        <w:rPr>
          <w:rFonts w:ascii="Times New Roman" w:hAnsi="Times New Roman" w:cs="Times New Roman"/>
          <w:sz w:val="24"/>
          <w:szCs w:val="24"/>
        </w:rPr>
        <w:t>Níže uváděné pojmy je dobré znát pro</w:t>
      </w:r>
      <w:r w:rsidR="009D45E0">
        <w:rPr>
          <w:rFonts w:ascii="Times New Roman" w:hAnsi="Times New Roman" w:cs="Times New Roman"/>
          <w:sz w:val="24"/>
          <w:szCs w:val="24"/>
        </w:rPr>
        <w:t xml:space="preserve"> sestavení rozpočtu a pro</w:t>
      </w:r>
      <w:r w:rsidRPr="00A87B64">
        <w:rPr>
          <w:rFonts w:ascii="Times New Roman" w:hAnsi="Times New Roman" w:cs="Times New Roman"/>
          <w:sz w:val="24"/>
          <w:szCs w:val="24"/>
        </w:rPr>
        <w:t xml:space="preserve"> správnou volbu třídění, především pro volbu položek.</w:t>
      </w:r>
    </w:p>
    <w:p w14:paraId="1C693FFF" w14:textId="19C289C8" w:rsidR="00F7587C" w:rsidRPr="00E476B3" w:rsidRDefault="00F848B5" w:rsidP="00F00CFC">
      <w:pPr>
        <w:pStyle w:val="Nadpis3"/>
      </w:pPr>
      <w:bookmarkStart w:id="10" w:name="_Toc94609611"/>
      <w:r w:rsidRPr="00E476B3">
        <w:t>Pojem příjmu, výdaje a financování:</w:t>
      </w:r>
      <w:bookmarkEnd w:id="10"/>
      <w:r w:rsidRPr="00E476B3">
        <w:t xml:space="preserve"> </w:t>
      </w:r>
    </w:p>
    <w:p w14:paraId="3BFB302C" w14:textId="1BD06232" w:rsidR="00EF133A" w:rsidRPr="00E476B3" w:rsidRDefault="00D32851" w:rsidP="00D32851">
      <w:pPr>
        <w:spacing w:after="120"/>
        <w:jc w:val="both"/>
      </w:pPr>
      <w:r w:rsidRPr="00E476B3">
        <w:t xml:space="preserve">Pojem č. 65: </w:t>
      </w:r>
      <w:r w:rsidR="00EF133A" w:rsidRPr="00E476B3">
        <w:t>příjmem rozumí přijetí peněžních prostředků s výjimkou přijetí, které má povahu financujících položek (tato přijetí patří na položky třídy 8),</w:t>
      </w:r>
    </w:p>
    <w:p w14:paraId="157EB17E" w14:textId="3FE4C2D1" w:rsidR="00EF133A" w:rsidRPr="00E476B3" w:rsidRDefault="00D32851" w:rsidP="00D32851">
      <w:pPr>
        <w:spacing w:after="120"/>
        <w:jc w:val="both"/>
      </w:pPr>
      <w:r w:rsidRPr="00E476B3">
        <w:t xml:space="preserve">Pojem č. 86 </w:t>
      </w:r>
      <w:r w:rsidR="00EF133A" w:rsidRPr="00E476B3">
        <w:t>výdajem rozumí vydání peněžních prostředků s výjimkou vydání souvisejících s krytím schodků a použitím přebytků veřejných rozpočtů a ostatních veřejných peněžních fondů používajících rozpočtovou skladbu (tato vydání patří na položky třídy 8),</w:t>
      </w:r>
    </w:p>
    <w:p w14:paraId="2E73C983" w14:textId="77B9A69D" w:rsidR="00EF133A" w:rsidRPr="00E476B3" w:rsidRDefault="00EF133A" w:rsidP="00D32851">
      <w:pPr>
        <w:spacing w:after="120"/>
        <w:jc w:val="both"/>
        <w:rPr>
          <w:rFonts w:ascii="Times New Roman" w:hAnsi="Times New Roman" w:cs="Times New Roman"/>
          <w:i/>
          <w:iCs/>
          <w:sz w:val="24"/>
          <w:szCs w:val="24"/>
        </w:rPr>
      </w:pPr>
      <w:r w:rsidRPr="00E476B3">
        <w:rPr>
          <w:rFonts w:ascii="Times New Roman" w:hAnsi="Times New Roman" w:cs="Times New Roman"/>
          <w:b/>
          <w:bCs/>
          <w:i/>
          <w:iCs/>
          <w:sz w:val="24"/>
          <w:szCs w:val="24"/>
        </w:rPr>
        <w:t>Komentář:</w:t>
      </w:r>
      <w:r w:rsidRPr="00E476B3">
        <w:rPr>
          <w:rFonts w:ascii="Times New Roman" w:hAnsi="Times New Roman" w:cs="Times New Roman"/>
          <w:i/>
          <w:iCs/>
          <w:sz w:val="24"/>
          <w:szCs w:val="24"/>
        </w:rPr>
        <w:t xml:space="preserve"> Kvůli těmto definicím často užíváme výrazy: kladné a záporné financování, např. i při tvorbě rozpočtu pro oddělení příjmů a výdajů, které určují, zda je rozpočet schodkový, přebytkový nebo vyrovnaný. Rozpočet schodkový (výdaje běžného roku jsou vyšší než příjmy běžného roku) se vyrovnává kladným financováním (zapojením úspor, přijatými úvěry...), rozpočet přebytkový (příjmy běžného roku jsou vyšší než výdaje běžného roku) záporným financováním (tvorba úspor, splátky půjček...). </w:t>
      </w:r>
    </w:p>
    <w:p w14:paraId="2839DC48" w14:textId="36E75DB5" w:rsidR="00EF133A" w:rsidRPr="00D32851" w:rsidRDefault="00EF133A" w:rsidP="00D32851">
      <w:pPr>
        <w:spacing w:after="120"/>
        <w:jc w:val="both"/>
        <w:rPr>
          <w:rFonts w:ascii="Times New Roman" w:hAnsi="Times New Roman" w:cs="Times New Roman"/>
          <w:sz w:val="24"/>
          <w:szCs w:val="24"/>
        </w:rPr>
      </w:pPr>
      <w:r w:rsidRPr="00D32851">
        <w:rPr>
          <w:rFonts w:ascii="Times New Roman" w:hAnsi="Times New Roman" w:cs="Times New Roman"/>
          <w:b/>
          <w:bCs/>
          <w:sz w:val="24"/>
          <w:szCs w:val="24"/>
        </w:rPr>
        <w:t>Pojem č.</w:t>
      </w:r>
      <w:r w:rsidRPr="00D32851">
        <w:rPr>
          <w:rFonts w:ascii="Times New Roman" w:hAnsi="Times New Roman" w:cs="Times New Roman"/>
          <w:sz w:val="24"/>
          <w:szCs w:val="24"/>
        </w:rPr>
        <w:t xml:space="preserve"> </w:t>
      </w:r>
      <w:r w:rsidR="0032699F">
        <w:rPr>
          <w:rFonts w:ascii="Times New Roman" w:hAnsi="Times New Roman" w:cs="Times New Roman"/>
          <w:sz w:val="24"/>
          <w:szCs w:val="24"/>
        </w:rPr>
        <w:t>12</w:t>
      </w:r>
      <w:r w:rsidR="003D367B" w:rsidRPr="00D32851">
        <w:rPr>
          <w:rFonts w:ascii="Times New Roman" w:hAnsi="Times New Roman" w:cs="Times New Roman"/>
          <w:sz w:val="24"/>
          <w:szCs w:val="24"/>
        </w:rPr>
        <w:t>, který s výše uvedenými definicemi příjmů a výdajů úzce souvisí, řeší</w:t>
      </w:r>
      <w:r w:rsidRPr="00D32851">
        <w:rPr>
          <w:rFonts w:ascii="Times New Roman" w:hAnsi="Times New Roman" w:cs="Times New Roman"/>
          <w:sz w:val="24"/>
          <w:szCs w:val="24"/>
        </w:rPr>
        <w:t xml:space="preserve"> </w:t>
      </w:r>
      <w:r w:rsidRPr="00D32851">
        <w:rPr>
          <w:rFonts w:ascii="Times New Roman" w:hAnsi="Times New Roman" w:cs="Times New Roman"/>
          <w:b/>
          <w:bCs/>
          <w:sz w:val="24"/>
          <w:szCs w:val="24"/>
        </w:rPr>
        <w:t>financující položky.</w:t>
      </w:r>
      <w:r w:rsidRPr="00D32851">
        <w:rPr>
          <w:rFonts w:ascii="Times New Roman" w:hAnsi="Times New Roman" w:cs="Times New Roman"/>
          <w:sz w:val="24"/>
          <w:szCs w:val="24"/>
        </w:rPr>
        <w:t xml:space="preserve"> Jedná se o změnu stavu prostředků na účtech, přijetí a splátek půjček a tzv. řízení likvidity, tj. převody peněžních prostředků za účelem jejich zhodnocení</w:t>
      </w:r>
      <w:r w:rsidR="003D367B" w:rsidRPr="00D32851">
        <w:rPr>
          <w:rFonts w:ascii="Times New Roman" w:hAnsi="Times New Roman" w:cs="Times New Roman"/>
          <w:sz w:val="24"/>
          <w:szCs w:val="24"/>
        </w:rPr>
        <w:t xml:space="preserve"> a po zhodnocení jejich přijetí</w:t>
      </w:r>
      <w:r w:rsidR="00A87B64" w:rsidRPr="00D32851">
        <w:rPr>
          <w:rFonts w:ascii="Times New Roman" w:hAnsi="Times New Roman" w:cs="Times New Roman"/>
          <w:sz w:val="24"/>
          <w:szCs w:val="24"/>
        </w:rPr>
        <w:t xml:space="preserve"> zpět do rozpočtových okruhů</w:t>
      </w:r>
      <w:r w:rsidR="003D367B" w:rsidRPr="00D32851">
        <w:rPr>
          <w:rFonts w:ascii="Times New Roman" w:hAnsi="Times New Roman" w:cs="Times New Roman"/>
          <w:sz w:val="24"/>
          <w:szCs w:val="24"/>
        </w:rPr>
        <w:t xml:space="preserve">. </w:t>
      </w:r>
      <w:r w:rsidRPr="00D32851">
        <w:rPr>
          <w:rFonts w:ascii="Times New Roman" w:hAnsi="Times New Roman" w:cs="Times New Roman"/>
          <w:sz w:val="24"/>
          <w:szCs w:val="24"/>
        </w:rPr>
        <w:t xml:space="preserve">  </w:t>
      </w:r>
    </w:p>
    <w:p w14:paraId="48792387" w14:textId="77777777" w:rsidR="00D32851" w:rsidRDefault="003D367B" w:rsidP="00F7587C">
      <w:pPr>
        <w:rPr>
          <w:b/>
          <w:bCs/>
        </w:rPr>
      </w:pPr>
      <w:r w:rsidRPr="00A87B64">
        <w:rPr>
          <w:b/>
          <w:bCs/>
        </w:rPr>
        <w:t xml:space="preserve"> </w:t>
      </w:r>
    </w:p>
    <w:p w14:paraId="7E8D9C22" w14:textId="57649370" w:rsidR="009F1001" w:rsidRPr="00E476B3" w:rsidRDefault="00A87B64" w:rsidP="00F00CFC">
      <w:pPr>
        <w:pStyle w:val="Nadpis3"/>
      </w:pPr>
      <w:bookmarkStart w:id="11" w:name="_Toc94609612"/>
      <w:r w:rsidRPr="00E476B3">
        <w:t>Peněžní fond (účty).</w:t>
      </w:r>
      <w:bookmarkEnd w:id="11"/>
      <w:r w:rsidRPr="00E476B3">
        <w:t xml:space="preserve"> </w:t>
      </w:r>
    </w:p>
    <w:p w14:paraId="6E4E0B66" w14:textId="41AB73EE" w:rsidR="009F1001" w:rsidRPr="009F1001" w:rsidRDefault="00A87B64" w:rsidP="009F1001">
      <w:pPr>
        <w:rPr>
          <w:rFonts w:ascii="Times New Roman" w:hAnsi="Times New Roman" w:cs="Times New Roman"/>
          <w:sz w:val="24"/>
          <w:szCs w:val="24"/>
        </w:rPr>
      </w:pPr>
      <w:r w:rsidRPr="009F1001">
        <w:rPr>
          <w:rFonts w:ascii="Times New Roman" w:hAnsi="Times New Roman" w:cs="Times New Roman"/>
          <w:sz w:val="24"/>
          <w:szCs w:val="24"/>
        </w:rPr>
        <w:t xml:space="preserve">Jedná se o důležitý pojem pro účely rozpočtové skladby. Název peněžní fond může být pro uživatele zavádějící, protože používáme pojem peněžní fond dle vyhlášky č. 250/2000 Sb., tj. jen pro účet 236. Pojem dle pokynu se však týká všech účtů, na kterých se třídí rozpočtovou skladbou: </w:t>
      </w:r>
    </w:p>
    <w:p w14:paraId="43182D6F" w14:textId="70CEE3FC" w:rsidR="009F1001" w:rsidRPr="00E476B3" w:rsidRDefault="0032699F" w:rsidP="00E476B3">
      <w:pPr>
        <w:spacing w:after="120"/>
        <w:jc w:val="both"/>
        <w:rPr>
          <w:b/>
          <w:bCs/>
        </w:rPr>
      </w:pPr>
      <w:r w:rsidRPr="00E476B3">
        <w:rPr>
          <w:b/>
          <w:bCs/>
        </w:rPr>
        <w:t>Po</w:t>
      </w:r>
      <w:r w:rsidR="00E476B3" w:rsidRPr="00E476B3">
        <w:rPr>
          <w:b/>
          <w:bCs/>
        </w:rPr>
        <w:t>jem</w:t>
      </w:r>
      <w:r w:rsidRPr="00E476B3">
        <w:rPr>
          <w:b/>
          <w:bCs/>
        </w:rPr>
        <w:t xml:space="preserve"> č.</w:t>
      </w:r>
      <w:r w:rsidR="00E476B3" w:rsidRPr="00E476B3">
        <w:rPr>
          <w:b/>
          <w:bCs/>
        </w:rPr>
        <w:t xml:space="preserve"> 44:</w:t>
      </w:r>
      <w:r w:rsidRPr="00E476B3">
        <w:rPr>
          <w:b/>
          <w:bCs/>
        </w:rPr>
        <w:t xml:space="preserve"> </w:t>
      </w:r>
      <w:r w:rsidR="009F1001" w:rsidRPr="00E476B3">
        <w:rPr>
          <w:b/>
          <w:bCs/>
        </w:rPr>
        <w:t>peněžním fondem</w:t>
      </w:r>
      <w:r w:rsidR="009F1001" w:rsidRPr="00E476B3">
        <w:t xml:space="preserve"> rozumí nástroj pro shromažďování, ukládání a vydávání peněžních prostředků umožňující placení nebo výběry na požádání, jemuž právní předpis nebo jeho vlastník stanovil režim spočívající zejména v tom, z jakých zdrojů se naplňuje a na financování čeho se používá; je jím bankovní účet s výjimkou účtu se vkladní knížkou (§ 2662 až 2675 občanského zákoníku), jestliže splňuje tuto podmínku, popřípadě spojený s jiným takovým účtem, pokladnou nebo elektronickou peněženkou (vyúčtovávanými na něj), nebo jejich skupina či soustava; může jím být i pokladna používaná v režimu oddělených pokladen (k tomu v náplních položek 4138 a 5348); rovněž jím může být i místo na takovém bankovním účtu nebo v takové pokladně, případně spojené s jinými takovými účty nebo místy na nich nebo pokladnami nebo místy v nich, jakož i jejich skupiny či soustavy; </w:t>
      </w:r>
      <w:r w:rsidR="009F1001" w:rsidRPr="00E476B3">
        <w:rPr>
          <w:b/>
          <w:bCs/>
        </w:rPr>
        <w:t xml:space="preserve">není jím účet se vkladní knížkou (§ 2676 až 2679 občanského zákoníku) ani vklad, a to jednorázový vklad včetně vkladu potvrzeného vkladním listem (§ 2680 a 2681) ani žádný jiný vklad, a to ani v případě, že smlouva o něm je nazvána smlouvou o termínovaném vkladu nebo smlouvou o účtu </w:t>
      </w:r>
      <w:r w:rsidR="009F1001" w:rsidRPr="00E476B3">
        <w:rPr>
          <w:b/>
          <w:bCs/>
        </w:rPr>
        <w:lastRenderedPageBreak/>
        <w:t>termínovaného vkladu, ani jiný nástroj neumožňující placení nebo výběry na požádání; majitel peněžního fondu (například § 2662 občanského zákoníku) se považuje za vlastníka všech peněžních prostředků v něm soustředěných,</w:t>
      </w:r>
    </w:p>
    <w:p w14:paraId="1193D790" w14:textId="77777777" w:rsidR="009F1001" w:rsidRPr="007A7192" w:rsidRDefault="009F1001" w:rsidP="00E476B3">
      <w:pPr>
        <w:spacing w:after="120"/>
        <w:jc w:val="both"/>
        <w:rPr>
          <w:rFonts w:ascii="Times New Roman" w:hAnsi="Times New Roman" w:cs="Times New Roman"/>
          <w:i/>
          <w:iCs/>
          <w:sz w:val="24"/>
          <w:szCs w:val="24"/>
        </w:rPr>
      </w:pPr>
      <w:r w:rsidRPr="007A7192">
        <w:rPr>
          <w:rFonts w:ascii="Times New Roman" w:hAnsi="Times New Roman" w:cs="Times New Roman"/>
          <w:b/>
          <w:bCs/>
          <w:i/>
          <w:iCs/>
          <w:sz w:val="24"/>
          <w:szCs w:val="24"/>
        </w:rPr>
        <w:t>Komentář:</w:t>
      </w:r>
      <w:r w:rsidRPr="007A7192">
        <w:rPr>
          <w:rFonts w:ascii="Times New Roman" w:hAnsi="Times New Roman" w:cs="Times New Roman"/>
          <w:i/>
          <w:iCs/>
          <w:sz w:val="24"/>
          <w:szCs w:val="24"/>
        </w:rPr>
        <w:t xml:space="preserve"> Zjednodušeně se peněžním fondem rozumí běžné účty u bank a oddělené pokladny. </w:t>
      </w:r>
    </w:p>
    <w:p w14:paraId="2FA2B083" w14:textId="792DA73C" w:rsidR="009F1001" w:rsidRPr="00E476B3" w:rsidRDefault="00E476B3" w:rsidP="00E476B3">
      <w:pPr>
        <w:spacing w:after="120"/>
        <w:jc w:val="both"/>
        <w:rPr>
          <w:b/>
          <w:bCs/>
        </w:rPr>
      </w:pPr>
      <w:r w:rsidRPr="00E476B3">
        <w:rPr>
          <w:b/>
          <w:bCs/>
        </w:rPr>
        <w:t>Pojem č. 45:</w:t>
      </w:r>
      <w:r w:rsidR="0032699F" w:rsidRPr="00E476B3">
        <w:rPr>
          <w:b/>
          <w:bCs/>
        </w:rPr>
        <w:t xml:space="preserve"> </w:t>
      </w:r>
      <w:r w:rsidR="009F1001" w:rsidRPr="00E476B3">
        <w:rPr>
          <w:b/>
          <w:bCs/>
        </w:rPr>
        <w:t>peněžními fondy</w:t>
      </w:r>
      <w:r w:rsidR="009F1001" w:rsidRPr="00E476B3">
        <w:t xml:space="preserve"> podléhajícími rozpočtové skladbě rozumějí státní rozpočet, státní finanční aktiva, rezervní fondy organizačních složek státu a správců kapitol a rozpočty </w:t>
      </w:r>
      <w:r w:rsidR="009F1001" w:rsidRPr="00E476B3">
        <w:rPr>
          <w:b/>
          <w:bCs/>
        </w:rPr>
        <w:t>a ostatní peněžní fondy státních fondů, obcí, krajů a dobrovolných svazků obcí kromě fondu kulturních a sociálních potřeb, fondu cizích prostředků, fondu hospodářské (podnikatelské) činnosti a fondu sdružených prostředků,</w:t>
      </w:r>
    </w:p>
    <w:p w14:paraId="0F5A6FEE" w14:textId="77777777" w:rsidR="009F1001" w:rsidRPr="005F74AB" w:rsidRDefault="009F1001" w:rsidP="00E476B3">
      <w:pPr>
        <w:spacing w:after="120"/>
        <w:jc w:val="both"/>
        <w:rPr>
          <w:rFonts w:ascii="Times New Roman" w:hAnsi="Times New Roman" w:cs="Times New Roman"/>
          <w:i/>
          <w:iCs/>
          <w:sz w:val="24"/>
          <w:szCs w:val="24"/>
        </w:rPr>
      </w:pPr>
      <w:r w:rsidRPr="005F74AB">
        <w:rPr>
          <w:rFonts w:ascii="Times New Roman" w:hAnsi="Times New Roman" w:cs="Times New Roman"/>
          <w:b/>
          <w:bCs/>
          <w:i/>
          <w:iCs/>
          <w:sz w:val="24"/>
          <w:szCs w:val="24"/>
        </w:rPr>
        <w:t>Komentář:</w:t>
      </w:r>
      <w:r w:rsidRPr="005F74AB">
        <w:rPr>
          <w:rFonts w:ascii="Times New Roman" w:hAnsi="Times New Roman" w:cs="Times New Roman"/>
          <w:i/>
          <w:iCs/>
          <w:sz w:val="24"/>
          <w:szCs w:val="24"/>
        </w:rPr>
        <w:t xml:space="preserve"> Jen upozorňujeme, že FKSP není totéž, co Sociálními fond obce. FKSP má svou vyhlášku, řídí se jí např. i příspěvkové organizace. Sociální fond obce se třídí rozpočtovou skladbou a je peněžním fondem obce. </w:t>
      </w:r>
    </w:p>
    <w:p w14:paraId="36C94D8B" w14:textId="77777777" w:rsidR="00A87B64" w:rsidRDefault="00A87B64" w:rsidP="00F7587C"/>
    <w:p w14:paraId="3AFAC414" w14:textId="48676F1F" w:rsidR="003D367B" w:rsidRPr="00891D85" w:rsidRDefault="003D367B" w:rsidP="00F00CFC">
      <w:pPr>
        <w:pStyle w:val="Nadpis3"/>
      </w:pPr>
      <w:bookmarkStart w:id="12" w:name="_Toc94609613"/>
      <w:r w:rsidRPr="00891D85">
        <w:t>Základní rozdělení výdajů</w:t>
      </w:r>
      <w:bookmarkEnd w:id="12"/>
    </w:p>
    <w:p w14:paraId="736CEC0B" w14:textId="7D7B63B1" w:rsidR="003D367B" w:rsidRPr="005F74AB" w:rsidRDefault="0032699F" w:rsidP="0032699F">
      <w:pPr>
        <w:spacing w:after="120"/>
        <w:jc w:val="both"/>
        <w:rPr>
          <w:rFonts w:cstheme="minorHAnsi"/>
        </w:rPr>
      </w:pPr>
      <w:r w:rsidRPr="005F74AB">
        <w:rPr>
          <w:rFonts w:cstheme="minorHAnsi"/>
          <w:b/>
          <w:bCs/>
        </w:rPr>
        <w:t xml:space="preserve">Pojem č. 19: </w:t>
      </w:r>
      <w:r w:rsidR="003D367B" w:rsidRPr="005F74AB">
        <w:rPr>
          <w:rFonts w:cstheme="minorHAnsi"/>
          <w:b/>
          <w:bCs/>
        </w:rPr>
        <w:t>kapitálovými výdaji</w:t>
      </w:r>
      <w:r w:rsidR="003D367B" w:rsidRPr="005F74AB">
        <w:rPr>
          <w:rFonts w:cstheme="minorHAnsi"/>
        </w:rPr>
        <w:t xml:space="preserve"> rozumějí investiční výdaje, investiční transfery a investiční půjčené peněžní prostředky,</w:t>
      </w:r>
    </w:p>
    <w:p w14:paraId="6EC20B30" w14:textId="214CA6F5" w:rsidR="003D367B" w:rsidRPr="005F74AB" w:rsidRDefault="0032699F" w:rsidP="0032699F">
      <w:pPr>
        <w:spacing w:after="120"/>
        <w:jc w:val="both"/>
        <w:rPr>
          <w:rFonts w:cstheme="minorHAnsi"/>
          <w:b/>
          <w:bCs/>
        </w:rPr>
      </w:pPr>
      <w:r w:rsidRPr="005F74AB">
        <w:rPr>
          <w:rFonts w:cstheme="minorHAnsi"/>
          <w:b/>
          <w:bCs/>
        </w:rPr>
        <w:t xml:space="preserve">Pojem č. 18: </w:t>
      </w:r>
      <w:r w:rsidR="003D367B" w:rsidRPr="005F74AB">
        <w:rPr>
          <w:rFonts w:cstheme="minorHAnsi"/>
          <w:b/>
          <w:bCs/>
        </w:rPr>
        <w:t>investičními výdaji</w:t>
      </w:r>
      <w:r w:rsidR="003D367B" w:rsidRPr="005F74AB">
        <w:rPr>
          <w:rFonts w:cstheme="minorHAnsi"/>
        </w:rPr>
        <w:t xml:space="preserve"> rozumějí výdaje na pořízení věcí a práv majících povahu dlouhodobého majetku. Výdaj vynaložený na pořízení věcí nebo práv majících povahu dlouhodobého majetku i na pořízení jiných hodnot, u kterého nelze rozlišit, jaká jeho část se vynaložila na pořízení věcí a práv majících povahu dlouhodobého majetku a jaká na pořízení jiných hodnot (nerozlišený výdaj), </w:t>
      </w:r>
      <w:r w:rsidR="003D367B" w:rsidRPr="005F74AB">
        <w:rPr>
          <w:rFonts w:cstheme="minorHAnsi"/>
          <w:b/>
          <w:bCs/>
        </w:rPr>
        <w:t>se považuje za výdaj neinvestiční.</w:t>
      </w:r>
      <w:r w:rsidR="003D367B" w:rsidRPr="005F74AB">
        <w:rPr>
          <w:rFonts w:cstheme="minorHAnsi"/>
        </w:rPr>
        <w:t xml:space="preserve"> Je-li </w:t>
      </w:r>
      <w:r w:rsidR="003D367B" w:rsidRPr="005F74AB">
        <w:rPr>
          <w:rFonts w:cstheme="minorHAnsi"/>
          <w:b/>
          <w:bCs/>
        </w:rPr>
        <w:t xml:space="preserve">nerozlišený výdaj vynaložen při plnění investiční akce </w:t>
      </w:r>
      <w:r w:rsidR="003D367B" w:rsidRPr="005F74AB">
        <w:rPr>
          <w:rFonts w:cstheme="minorHAnsi"/>
        </w:rPr>
        <w:t xml:space="preserve">podle rozpočtových pravidel [§ 12 zákona č. 218/2000 Sb., o rozpočtových pravidlech a o změně některých souvisejících zákonů (rozpočtová pravidla), ve znění zákona č. 484/2020 Sb.], </w:t>
      </w:r>
      <w:r w:rsidR="003D367B" w:rsidRPr="005F74AB">
        <w:rPr>
          <w:rFonts w:cstheme="minorHAnsi"/>
          <w:b/>
          <w:bCs/>
        </w:rPr>
        <w:t>považuje se za výdaj investiční,</w:t>
      </w:r>
    </w:p>
    <w:p w14:paraId="56CAEC7C" w14:textId="08542C15" w:rsidR="003D367B" w:rsidRPr="005F74AB" w:rsidRDefault="0032699F" w:rsidP="0032699F">
      <w:pPr>
        <w:jc w:val="both"/>
        <w:rPr>
          <w:rFonts w:cstheme="minorHAnsi"/>
        </w:rPr>
      </w:pPr>
      <w:r w:rsidRPr="005F74AB">
        <w:rPr>
          <w:rFonts w:cstheme="minorHAnsi"/>
          <w:b/>
          <w:bCs/>
        </w:rPr>
        <w:t xml:space="preserve">Pojem č. 17: </w:t>
      </w:r>
      <w:r w:rsidR="003D367B" w:rsidRPr="005F74AB">
        <w:rPr>
          <w:rFonts w:cstheme="minorHAnsi"/>
          <w:b/>
          <w:bCs/>
        </w:rPr>
        <w:t>investičními transfery</w:t>
      </w:r>
      <w:r w:rsidR="003D367B" w:rsidRPr="005F74AB">
        <w:rPr>
          <w:rFonts w:cstheme="minorHAnsi"/>
        </w:rPr>
        <w:t xml:space="preserve"> rozumějí transfery, které představují poskytnutí peněžních prostředků určených na</w:t>
      </w:r>
    </w:p>
    <w:p w14:paraId="41DF3035" w14:textId="77777777" w:rsidR="003D367B" w:rsidRPr="005F74AB" w:rsidRDefault="003D367B" w:rsidP="003D367B">
      <w:pPr>
        <w:spacing w:after="0" w:line="240" w:lineRule="auto"/>
        <w:ind w:left="737" w:hanging="357"/>
        <w:jc w:val="both"/>
        <w:rPr>
          <w:rFonts w:cstheme="minorHAnsi"/>
        </w:rPr>
      </w:pPr>
      <w:r w:rsidRPr="005F74AB">
        <w:rPr>
          <w:rFonts w:cstheme="minorHAnsi"/>
        </w:rPr>
        <w:t>a) investiční výdaje příjemce transferu; pro určení, které jeho výdaje jsou investiční, jsou rozhodující účetní předpisy, které se na něj vztahují, a nikoliv definice uvedené v této příloze,</w:t>
      </w:r>
    </w:p>
    <w:p w14:paraId="2A492EF5" w14:textId="77777777" w:rsidR="003D367B" w:rsidRPr="005F74AB" w:rsidRDefault="003D367B" w:rsidP="003D367B">
      <w:pPr>
        <w:spacing w:after="0" w:line="240" w:lineRule="auto"/>
        <w:ind w:left="664" w:hanging="284"/>
        <w:jc w:val="both"/>
        <w:rPr>
          <w:rFonts w:cstheme="minorHAnsi"/>
        </w:rPr>
      </w:pPr>
      <w:r w:rsidRPr="005F74AB">
        <w:rPr>
          <w:rFonts w:cstheme="minorHAnsi"/>
        </w:rPr>
        <w:t>b) transfery určené na investiční výdaje; pro určení, které výdaje konečného příjemce jsou investiční, jsou rozhodující účetní předpisy, které se na něj vztahují,</w:t>
      </w:r>
    </w:p>
    <w:p w14:paraId="549B2E57" w14:textId="77777777" w:rsidR="003D367B" w:rsidRPr="005F74AB" w:rsidRDefault="003D367B" w:rsidP="003D367B">
      <w:pPr>
        <w:spacing w:after="0" w:line="240" w:lineRule="auto"/>
        <w:ind w:left="737" w:hanging="357"/>
        <w:jc w:val="both"/>
        <w:rPr>
          <w:rFonts w:cstheme="minorHAnsi"/>
        </w:rPr>
      </w:pPr>
      <w:r w:rsidRPr="005F74AB">
        <w:rPr>
          <w:rFonts w:cstheme="minorHAnsi"/>
        </w:rPr>
        <w:t xml:space="preserve">c) půjčené peněžní prostředky určené na investiční výdaje. </w:t>
      </w:r>
    </w:p>
    <w:p w14:paraId="604DA86E" w14:textId="77777777" w:rsidR="003D367B" w:rsidRPr="005F74AB" w:rsidRDefault="003D367B" w:rsidP="003D367B">
      <w:pPr>
        <w:spacing w:after="0" w:line="240" w:lineRule="auto"/>
        <w:ind w:left="380"/>
        <w:contextualSpacing/>
        <w:jc w:val="both"/>
        <w:rPr>
          <w:rFonts w:cstheme="minorHAnsi"/>
        </w:rPr>
      </w:pPr>
      <w:r w:rsidRPr="005F74AB">
        <w:rPr>
          <w:rFonts w:cstheme="minorHAnsi"/>
        </w:rPr>
        <w:t>Transfer, u kterého nelze rozlišit, jaká jeho část se použije podle věty první, se považuje za investiční transfer, je-li zcela zřejmé, že podle věty první se použije jeho větší část, jinak se považuje za transfer neinvestiční,</w:t>
      </w:r>
    </w:p>
    <w:p w14:paraId="085C37C9" w14:textId="77777777" w:rsidR="005F74AB" w:rsidRPr="005F74AB" w:rsidRDefault="005F74AB" w:rsidP="00E476B3">
      <w:pPr>
        <w:spacing w:after="0"/>
        <w:jc w:val="both"/>
        <w:rPr>
          <w:rFonts w:cstheme="minorHAnsi"/>
          <w:b/>
          <w:bCs/>
        </w:rPr>
      </w:pPr>
    </w:p>
    <w:p w14:paraId="5D9F74CE" w14:textId="739A7A8C" w:rsidR="003D367B" w:rsidRPr="005F74AB" w:rsidRDefault="0032699F" w:rsidP="00E476B3">
      <w:pPr>
        <w:spacing w:after="0"/>
        <w:jc w:val="both"/>
        <w:rPr>
          <w:rFonts w:cstheme="minorHAnsi"/>
        </w:rPr>
      </w:pPr>
      <w:r w:rsidRPr="005F74AB">
        <w:rPr>
          <w:rFonts w:cstheme="minorHAnsi"/>
          <w:b/>
          <w:bCs/>
        </w:rPr>
        <w:t xml:space="preserve">Pojem č. 16: </w:t>
      </w:r>
      <w:r w:rsidR="003D367B" w:rsidRPr="005F74AB">
        <w:rPr>
          <w:rFonts w:cstheme="minorHAnsi"/>
          <w:b/>
          <w:bCs/>
        </w:rPr>
        <w:t>investičními půjčenými peněžními prostředky</w:t>
      </w:r>
      <w:r w:rsidR="003D367B" w:rsidRPr="005F74AB">
        <w:rPr>
          <w:rFonts w:cstheme="minorHAnsi"/>
        </w:rPr>
        <w:t xml:space="preserve"> rozumějí peněžní prostředky půjčené na </w:t>
      </w:r>
    </w:p>
    <w:p w14:paraId="4950F7CC" w14:textId="77777777" w:rsidR="003D367B" w:rsidRPr="005F74AB" w:rsidRDefault="003D367B" w:rsidP="00E476B3">
      <w:pPr>
        <w:spacing w:after="0"/>
        <w:ind w:left="664" w:hanging="284"/>
        <w:jc w:val="both"/>
        <w:rPr>
          <w:rFonts w:cstheme="minorHAnsi"/>
        </w:rPr>
      </w:pPr>
      <w:r w:rsidRPr="005F74AB">
        <w:rPr>
          <w:rFonts w:cstheme="minorHAnsi"/>
        </w:rPr>
        <w:t>a) investiční výdaje příjemce půjčených peněžních prostředků; pro určení, které jeho výdaje jsou investiční, jsou rozhodující účetní předpisy, které se na něj vztahují, a nikoliv definice uvedené v této příloze,</w:t>
      </w:r>
    </w:p>
    <w:p w14:paraId="423F3BB4" w14:textId="77777777" w:rsidR="003D367B" w:rsidRPr="005F74AB" w:rsidRDefault="003D367B" w:rsidP="00E476B3">
      <w:pPr>
        <w:spacing w:after="0"/>
        <w:ind w:left="664" w:hanging="284"/>
        <w:jc w:val="both"/>
        <w:rPr>
          <w:rFonts w:cstheme="minorHAnsi"/>
        </w:rPr>
      </w:pPr>
      <w:r w:rsidRPr="005F74AB">
        <w:rPr>
          <w:rFonts w:cstheme="minorHAnsi"/>
        </w:rPr>
        <w:t xml:space="preserve">b) investiční transfery, </w:t>
      </w:r>
    </w:p>
    <w:p w14:paraId="0EE24621" w14:textId="77777777" w:rsidR="003D367B" w:rsidRPr="005F74AB" w:rsidRDefault="003D367B" w:rsidP="00E476B3">
      <w:pPr>
        <w:spacing w:after="0"/>
        <w:ind w:left="664" w:hanging="284"/>
        <w:jc w:val="both"/>
        <w:rPr>
          <w:rFonts w:cstheme="minorHAnsi"/>
        </w:rPr>
      </w:pPr>
      <w:r w:rsidRPr="005F74AB">
        <w:rPr>
          <w:rFonts w:cstheme="minorHAnsi"/>
        </w:rPr>
        <w:t xml:space="preserve">c) půjčené peněžní prostředky určené na investiční výdaje. </w:t>
      </w:r>
    </w:p>
    <w:p w14:paraId="19A91C62" w14:textId="77777777" w:rsidR="003D367B" w:rsidRPr="005F74AB" w:rsidRDefault="003D367B" w:rsidP="00E476B3">
      <w:pPr>
        <w:spacing w:after="0"/>
        <w:ind w:left="360"/>
        <w:jc w:val="both"/>
        <w:rPr>
          <w:rFonts w:cstheme="minorHAnsi"/>
        </w:rPr>
      </w:pPr>
      <w:r w:rsidRPr="005F74AB">
        <w:rPr>
          <w:rFonts w:cstheme="minorHAnsi"/>
        </w:rPr>
        <w:t>Půjčené peněžní prostředky, u kterých nelze rozlišit, jaká jejich část se použije podle věty první tohoto bodu, se považují za investiční půjčené peněžní prostředky, je-li zcela zřejmé, že podle věty první se použije jejich větší část, jinak se považují za půjčené peněžní prostředky neinvestiční,</w:t>
      </w:r>
    </w:p>
    <w:p w14:paraId="753E56F2" w14:textId="77777777" w:rsidR="005F74AB" w:rsidRPr="005F74AB" w:rsidRDefault="005F74AB" w:rsidP="00D32851">
      <w:pPr>
        <w:spacing w:after="120"/>
        <w:jc w:val="both"/>
        <w:rPr>
          <w:rFonts w:cstheme="minorHAnsi"/>
          <w:b/>
          <w:bCs/>
        </w:rPr>
      </w:pPr>
    </w:p>
    <w:p w14:paraId="32543FD2" w14:textId="2D496F44" w:rsidR="002B6983" w:rsidRPr="005F74AB" w:rsidRDefault="00D32851" w:rsidP="00D32851">
      <w:pPr>
        <w:spacing w:after="120"/>
        <w:jc w:val="both"/>
        <w:rPr>
          <w:rFonts w:cstheme="minorHAnsi"/>
        </w:rPr>
      </w:pPr>
      <w:r w:rsidRPr="005F74AB">
        <w:rPr>
          <w:rFonts w:cstheme="minorHAnsi"/>
          <w:b/>
          <w:bCs/>
        </w:rPr>
        <w:lastRenderedPageBreak/>
        <w:t xml:space="preserve">Pojem č. 1: </w:t>
      </w:r>
      <w:r w:rsidR="002B6983" w:rsidRPr="005F74AB">
        <w:rPr>
          <w:rFonts w:cstheme="minorHAnsi"/>
          <w:b/>
          <w:bCs/>
        </w:rPr>
        <w:t>běžnými výdaji</w:t>
      </w:r>
      <w:r w:rsidR="002B6983" w:rsidRPr="005F74AB">
        <w:rPr>
          <w:rFonts w:cstheme="minorHAnsi"/>
        </w:rPr>
        <w:t xml:space="preserve"> rozumějí neinvestiční výdaje s výjimkou investičních transferů a investičních půjčených peněžních prostředků, </w:t>
      </w:r>
    </w:p>
    <w:p w14:paraId="1F264219" w14:textId="686D0D7C" w:rsidR="00A87B64" w:rsidRPr="005F74AB" w:rsidRDefault="00E476B3" w:rsidP="00D32851">
      <w:pPr>
        <w:spacing w:after="120"/>
        <w:jc w:val="both"/>
        <w:rPr>
          <w:rFonts w:cstheme="minorHAnsi"/>
        </w:rPr>
      </w:pPr>
      <w:r w:rsidRPr="005F74AB">
        <w:rPr>
          <w:rFonts w:cstheme="minorHAnsi"/>
          <w:b/>
          <w:bCs/>
        </w:rPr>
        <w:t xml:space="preserve">Pojem č. 37: </w:t>
      </w:r>
      <w:r w:rsidR="00A87B64" w:rsidRPr="005F74AB">
        <w:rPr>
          <w:rFonts w:cstheme="minorHAnsi"/>
          <w:b/>
          <w:bCs/>
        </w:rPr>
        <w:t>neinvestičními výdaji</w:t>
      </w:r>
      <w:r w:rsidR="00A87B64" w:rsidRPr="005F74AB">
        <w:rPr>
          <w:rFonts w:cstheme="minorHAnsi"/>
        </w:rPr>
        <w:t xml:space="preserve"> rozumějí výdaje jiné než na pořízení věcí a práv majících povahu dlouhodobého majetku. Výdaj vynaložený na pořízení věcí nebo práv majících povahu dlouhodobého majetku i na pořízení jiných hodnot, u kterého nelze rozlišit, jaká jeho část se vynaložila na pořízení věcí a práv majících povahu dlouhodobého majetku a jaká na pořízení jiných hodnot (nerozlišený výdaj), se považuje za výdaj neinvestiční. Je-li nerozlišený výdaj vynaložen při plnění investiční akce podle rozpočtových pravidel [§ 12 zákona č. 218/2000 Sb., o rozpočtových pravidlech a o změně některých souvisejících zákonů (rozpočtová pravidla), ve znění zákona č. 484/2020 Sb.], považuje se za výdaj investiční,</w:t>
      </w:r>
    </w:p>
    <w:p w14:paraId="1AD9D3A1" w14:textId="7CC9C070" w:rsidR="003D367B" w:rsidRPr="005F74AB" w:rsidRDefault="00E476B3" w:rsidP="00E476B3">
      <w:pPr>
        <w:spacing w:after="120"/>
        <w:jc w:val="both"/>
        <w:rPr>
          <w:rFonts w:cstheme="minorHAnsi"/>
        </w:rPr>
      </w:pPr>
      <w:r w:rsidRPr="005F74AB">
        <w:rPr>
          <w:rFonts w:cstheme="minorHAnsi"/>
          <w:b/>
          <w:bCs/>
        </w:rPr>
        <w:t xml:space="preserve">Pojem č. 36: </w:t>
      </w:r>
      <w:r w:rsidR="003D367B" w:rsidRPr="005F74AB">
        <w:rPr>
          <w:rFonts w:cstheme="minorHAnsi"/>
          <w:b/>
          <w:bCs/>
        </w:rPr>
        <w:t>neinvestičními transfery</w:t>
      </w:r>
      <w:r w:rsidR="003D367B" w:rsidRPr="005F74AB">
        <w:rPr>
          <w:rFonts w:cstheme="minorHAnsi"/>
        </w:rPr>
        <w:t xml:space="preserve"> rozumějí transfery jiné než investiční. Transfer, u kterého nelze rozlišit, jaká jeho část bude mít povahu transferu investičního, se považuje za investiční transfer, je-li zcela zřejmé, že tuto povahu bude mít jeho větší část, </w:t>
      </w:r>
      <w:r w:rsidR="003D367B" w:rsidRPr="005F74AB">
        <w:rPr>
          <w:rFonts w:cstheme="minorHAnsi"/>
          <w:b/>
          <w:bCs/>
        </w:rPr>
        <w:t>jinak se považuje za transfer neinvestiční,</w:t>
      </w:r>
    </w:p>
    <w:p w14:paraId="3FD1816F" w14:textId="4F37DDEB" w:rsidR="00A87B64" w:rsidRPr="005F74AB" w:rsidRDefault="00E476B3" w:rsidP="00E476B3">
      <w:pPr>
        <w:spacing w:after="120"/>
        <w:jc w:val="both"/>
        <w:rPr>
          <w:rFonts w:cstheme="minorHAnsi"/>
        </w:rPr>
      </w:pPr>
      <w:r w:rsidRPr="005F74AB">
        <w:rPr>
          <w:rFonts w:cstheme="minorHAnsi"/>
          <w:b/>
          <w:bCs/>
        </w:rPr>
        <w:t>Pojem č. 3</w:t>
      </w:r>
      <w:r w:rsidR="005F74AB" w:rsidRPr="005F74AB">
        <w:rPr>
          <w:rFonts w:cstheme="minorHAnsi"/>
          <w:b/>
          <w:bCs/>
        </w:rPr>
        <w:t>5</w:t>
      </w:r>
      <w:r w:rsidRPr="005F74AB">
        <w:rPr>
          <w:rFonts w:cstheme="minorHAnsi"/>
          <w:b/>
          <w:bCs/>
        </w:rPr>
        <w:t xml:space="preserve">: </w:t>
      </w:r>
      <w:r w:rsidR="00A87B64" w:rsidRPr="005F74AB">
        <w:rPr>
          <w:rFonts w:cstheme="minorHAnsi"/>
          <w:b/>
          <w:bCs/>
        </w:rPr>
        <w:t>neinvestičními půjčenými peněžními prostředky</w:t>
      </w:r>
      <w:r w:rsidR="00A87B64" w:rsidRPr="005F74AB">
        <w:rPr>
          <w:rFonts w:cstheme="minorHAnsi"/>
        </w:rPr>
        <w:t xml:space="preserve"> rozumějí půjčené peněžní prostředky jiné než investiční půjčené peněžní prostředky. Půjčené peněžní prostředky, u kterých nelze rozlišit, jaká jejich část bude mít povahu podle věty první, se považují za investiční půjčené peněžní prostředky, </w:t>
      </w:r>
      <w:r w:rsidR="00A87B64" w:rsidRPr="005F74AB">
        <w:rPr>
          <w:rFonts w:cstheme="minorHAnsi"/>
          <w:b/>
          <w:bCs/>
        </w:rPr>
        <w:t>je-li zcela zřejmé, že tuto povahu bude mít jejich větší část, jinak se považují za půjčené peněžní prostředky neinvestiční</w:t>
      </w:r>
      <w:r w:rsidR="00A87B64" w:rsidRPr="005F74AB">
        <w:rPr>
          <w:rFonts w:cstheme="minorHAnsi"/>
        </w:rPr>
        <w:t>,</w:t>
      </w:r>
    </w:p>
    <w:p w14:paraId="32B5D477" w14:textId="04A49D92" w:rsidR="00F848B5" w:rsidRPr="005F74AB" w:rsidRDefault="00F848B5" w:rsidP="00F7587C"/>
    <w:p w14:paraId="5FA545F0" w14:textId="77777777" w:rsidR="00CA6122" w:rsidRPr="00891D85" w:rsidRDefault="00CA6122" w:rsidP="00F00CFC">
      <w:pPr>
        <w:pStyle w:val="Nadpis3"/>
        <w:rPr>
          <w:i/>
          <w:iCs/>
          <w:color w:val="0070C0"/>
        </w:rPr>
      </w:pPr>
      <w:r w:rsidRPr="00891D85">
        <w:t xml:space="preserve"> </w:t>
      </w:r>
      <w:bookmarkStart w:id="13" w:name="_Toc94609614"/>
      <w:r w:rsidRPr="00891D85">
        <w:t>Rozpočty ústřední a územní úrovně</w:t>
      </w:r>
      <w:bookmarkEnd w:id="13"/>
      <w:r w:rsidRPr="00891D85">
        <w:rPr>
          <w:i/>
          <w:iCs/>
          <w:color w:val="0070C0"/>
        </w:rPr>
        <w:t xml:space="preserve"> </w:t>
      </w:r>
    </w:p>
    <w:p w14:paraId="3A3D9054" w14:textId="00488795" w:rsidR="00F848B5" w:rsidRPr="00CA6122" w:rsidRDefault="00CA6122" w:rsidP="00CA6122">
      <w:pPr>
        <w:spacing w:before="240"/>
        <w:rPr>
          <w:rFonts w:ascii="Times New Roman" w:hAnsi="Times New Roman" w:cs="Times New Roman"/>
          <w:b/>
          <w:bCs/>
          <w:color w:val="000000" w:themeColor="text1"/>
          <w:sz w:val="24"/>
          <w:szCs w:val="24"/>
        </w:rPr>
      </w:pPr>
      <w:r w:rsidRPr="00CA6122">
        <w:rPr>
          <w:rFonts w:ascii="Times New Roman" w:hAnsi="Times New Roman" w:cs="Times New Roman"/>
          <w:color w:val="000000" w:themeColor="text1"/>
          <w:sz w:val="24"/>
          <w:szCs w:val="24"/>
        </w:rPr>
        <w:t>Znalost pojmů „rozpočty ústřední a územní rovně“ je důležitá, pojmy mají vliv na volbu správných především příjmových položek.</w:t>
      </w:r>
      <w:r w:rsidR="0032699F">
        <w:rPr>
          <w:rFonts w:ascii="Times New Roman" w:hAnsi="Times New Roman" w:cs="Times New Roman"/>
          <w:color w:val="000000" w:themeColor="text1"/>
          <w:sz w:val="24"/>
          <w:szCs w:val="24"/>
        </w:rPr>
        <w:t xml:space="preserve"> (</w:t>
      </w:r>
      <w:r w:rsidR="005F74AB">
        <w:rPr>
          <w:rFonts w:ascii="Times New Roman" w:hAnsi="Times New Roman" w:cs="Times New Roman"/>
          <w:color w:val="000000" w:themeColor="text1"/>
          <w:sz w:val="24"/>
          <w:szCs w:val="24"/>
        </w:rPr>
        <w:t>výtah z pojmů</w:t>
      </w:r>
      <w:r w:rsidR="0032699F">
        <w:rPr>
          <w:rFonts w:ascii="Times New Roman" w:hAnsi="Times New Roman" w:cs="Times New Roman"/>
          <w:color w:val="000000" w:themeColor="text1"/>
          <w:sz w:val="24"/>
          <w:szCs w:val="24"/>
        </w:rPr>
        <w:t xml:space="preserve"> č. 82, 83 a č.84)</w:t>
      </w:r>
    </w:p>
    <w:p w14:paraId="39C08004" w14:textId="02926365" w:rsidR="00CA6122" w:rsidRPr="0032699F" w:rsidRDefault="0032699F" w:rsidP="005F74AB">
      <w:pPr>
        <w:spacing w:after="120"/>
        <w:jc w:val="both"/>
      </w:pPr>
      <w:r w:rsidRPr="0032699F">
        <w:t>V</w:t>
      </w:r>
      <w:r w:rsidR="00CA6122" w:rsidRPr="0032699F">
        <w:t>eřejnými rozpočty rozumějí veřejné rozpočty ústřední úrovně a veřejné rozpočty územní úrovně,</w:t>
      </w:r>
    </w:p>
    <w:p w14:paraId="28FBF205" w14:textId="43445371" w:rsidR="00CA6122" w:rsidRPr="005F74AB" w:rsidRDefault="00CA6122" w:rsidP="005F74AB">
      <w:pPr>
        <w:spacing w:after="120"/>
        <w:jc w:val="both"/>
        <w:rPr>
          <w:i/>
          <w:iCs/>
          <w:color w:val="000000" w:themeColor="text1"/>
        </w:rPr>
      </w:pPr>
      <w:r w:rsidRPr="005F74AB">
        <w:rPr>
          <w:b/>
          <w:bCs/>
          <w:color w:val="000000" w:themeColor="text1"/>
        </w:rPr>
        <w:t>veřejnými rozpočty ústřední úrovně</w:t>
      </w:r>
      <w:r w:rsidRPr="005F74AB">
        <w:rPr>
          <w:color w:val="000000" w:themeColor="text1"/>
        </w:rPr>
        <w:t xml:space="preserve"> rozumějí státní rozpočet, Národní fond a ostatní peněžní fondy organizačních složek státu a správců kapitol, peněžní fondy státních příspěvkových organizací </w:t>
      </w:r>
      <w:proofErr w:type="gramStart"/>
      <w:r w:rsidRPr="005F74AB">
        <w:rPr>
          <w:color w:val="000000" w:themeColor="text1"/>
        </w:rPr>
        <w:t>…(</w:t>
      </w:r>
      <w:proofErr w:type="gramEnd"/>
      <w:r w:rsidRPr="005F74AB">
        <w:rPr>
          <w:b/>
          <w:bCs/>
          <w:i/>
          <w:iCs/>
          <w:color w:val="000000" w:themeColor="text1"/>
        </w:rPr>
        <w:t>Pozn.</w:t>
      </w:r>
      <w:r w:rsidRPr="005F74AB">
        <w:rPr>
          <w:i/>
          <w:iCs/>
          <w:color w:val="000000" w:themeColor="text1"/>
        </w:rPr>
        <w:t xml:space="preserve"> V pokynu najdete úplný výčet rozpočtů ústřední úrovně.)</w:t>
      </w:r>
    </w:p>
    <w:p w14:paraId="1F6900EA" w14:textId="305D7473" w:rsidR="00CA6122" w:rsidRPr="00433926" w:rsidRDefault="00CA6122" w:rsidP="005F74AB">
      <w:pPr>
        <w:spacing w:after="120"/>
        <w:jc w:val="both"/>
        <w:rPr>
          <w:i/>
          <w:iCs/>
          <w:color w:val="000000" w:themeColor="text1"/>
        </w:rPr>
      </w:pPr>
      <w:r w:rsidRPr="005F74AB">
        <w:rPr>
          <w:b/>
          <w:bCs/>
          <w:color w:val="000000" w:themeColor="text1"/>
        </w:rPr>
        <w:t>veřejnými rozpočty územní úrovně</w:t>
      </w:r>
      <w:r w:rsidRPr="005F74AB">
        <w:rPr>
          <w:color w:val="000000" w:themeColor="text1"/>
        </w:rPr>
        <w:t xml:space="preserve"> rozumějí rozpočty a ostatní peněžní fondy obcí, krajů a dobrovolných svazků obcí a jimi zřízených příspěvkových organizací a školských právnických osob </w:t>
      </w:r>
      <w:r w:rsidR="00433926" w:rsidRPr="00433926">
        <w:rPr>
          <w:i/>
          <w:iCs/>
          <w:color w:val="000000" w:themeColor="text1"/>
        </w:rPr>
        <w:t>(</w:t>
      </w:r>
      <w:r w:rsidR="00433926" w:rsidRPr="00433926">
        <w:rPr>
          <w:b/>
          <w:bCs/>
          <w:i/>
          <w:iCs/>
          <w:color w:val="000000" w:themeColor="text1"/>
        </w:rPr>
        <w:t>Pozn.</w:t>
      </w:r>
      <w:r w:rsidR="00433926" w:rsidRPr="00433926">
        <w:rPr>
          <w:i/>
          <w:iCs/>
          <w:color w:val="000000" w:themeColor="text1"/>
        </w:rPr>
        <w:t xml:space="preserve"> V pokynu jsou navíc odkazy na předpisy.)</w:t>
      </w:r>
    </w:p>
    <w:p w14:paraId="3082216E" w14:textId="77777777" w:rsidR="00780F9D" w:rsidRDefault="00780F9D" w:rsidP="00CA6122">
      <w:pPr>
        <w:rPr>
          <w:rFonts w:ascii="Times New Roman" w:hAnsi="Times New Roman" w:cs="Times New Roman"/>
          <w:b/>
          <w:bCs/>
          <w:sz w:val="24"/>
          <w:szCs w:val="24"/>
        </w:rPr>
      </w:pPr>
    </w:p>
    <w:p w14:paraId="4BEB409E" w14:textId="3F15559C" w:rsidR="00CA6122" w:rsidRPr="00891D85" w:rsidRDefault="0045534D" w:rsidP="00F00CFC">
      <w:pPr>
        <w:pStyle w:val="Nadpis3"/>
      </w:pPr>
      <w:bookmarkStart w:id="14" w:name="_Toc94609615"/>
      <w:r w:rsidRPr="00891D85">
        <w:t>Další důležité pojmy k transferům a dotacím</w:t>
      </w:r>
      <w:bookmarkEnd w:id="14"/>
      <w:r w:rsidRPr="00891D85">
        <w:t xml:space="preserve"> </w:t>
      </w:r>
    </w:p>
    <w:p w14:paraId="0ACB5A81" w14:textId="75576F95" w:rsidR="00780F9D" w:rsidRPr="00FD2AB1" w:rsidRDefault="005F74AB" w:rsidP="00FD2AB1">
      <w:pPr>
        <w:spacing w:after="120"/>
        <w:jc w:val="both"/>
        <w:rPr>
          <w:b/>
          <w:bCs/>
        </w:rPr>
      </w:pPr>
      <w:r w:rsidRPr="00FD2AB1">
        <w:rPr>
          <w:b/>
          <w:bCs/>
        </w:rPr>
        <w:t>Pojem č.</w:t>
      </w:r>
      <w:r w:rsidR="00FD2AB1" w:rsidRPr="00FD2AB1">
        <w:rPr>
          <w:b/>
          <w:bCs/>
        </w:rPr>
        <w:t>75</w:t>
      </w:r>
      <w:r w:rsidRPr="00FD2AB1">
        <w:rPr>
          <w:b/>
          <w:bCs/>
        </w:rPr>
        <w:t xml:space="preserve">: </w:t>
      </w:r>
      <w:r w:rsidR="00780F9D" w:rsidRPr="00FD2AB1">
        <w:rPr>
          <w:b/>
          <w:bCs/>
        </w:rPr>
        <w:t>transferem rozumějí vydané nebo přijaté peněžní prostředky, proti kterým nestojí přímá protihodnota.</w:t>
      </w:r>
      <w:r w:rsidR="00780F9D" w:rsidRPr="00FD2AB1">
        <w:t xml:space="preserve"> Jsou jimi dotace, subvence, příspěvky, peněžité dary a jiné peněžní prostředky, které poskytuje jeden právní subjekt jinému bez přímé protihodnoty. Přímou protihodnotou se rozumí povinnost poskytovateli peněžních prostředků nebo jím jednotlivě určeným osobám něco dát, něco pro ně konat nebo vykonat, něčeho se vůči nim zdržet nebo něco od nich strpět a povinnost poskytnout peněžní náhradu újmy. Rozumějí se jimi i peněžní prostředky převáděné mezi peněžními fondy téhož právního subjektu. </w:t>
      </w:r>
      <w:r w:rsidR="00780F9D" w:rsidRPr="00FD2AB1">
        <w:rPr>
          <w:b/>
          <w:bCs/>
        </w:rPr>
        <w:t>Za transfery se nepovažují převody uvnitř peněžních fondů, zejména převody mezi příjmovými a výdajovými účty státního rozpočtu, zřízenými pro organizační složky státu, stejně jako převody do vlastních pokladen, na bankovní účty, do pokladen vnitřních organizačních jednotek nebo do vlastních elektronických peněženek, nejsou-li tyto pokladny, bankovní účty a elektronické peněženky oddělenými peněžními fondy,</w:t>
      </w:r>
    </w:p>
    <w:p w14:paraId="6336BAD2" w14:textId="1082CB1D" w:rsidR="00F7587C" w:rsidRPr="00FD2AB1" w:rsidRDefault="005F74AB" w:rsidP="00FD2AB1">
      <w:pPr>
        <w:spacing w:after="120"/>
        <w:jc w:val="both"/>
        <w:rPr>
          <w:b/>
          <w:bCs/>
        </w:rPr>
      </w:pPr>
      <w:r w:rsidRPr="00FD2AB1">
        <w:rPr>
          <w:b/>
          <w:bCs/>
        </w:rPr>
        <w:lastRenderedPageBreak/>
        <w:t xml:space="preserve">Pojem č. </w:t>
      </w:r>
      <w:r w:rsidR="00FD2AB1" w:rsidRPr="00FD2AB1">
        <w:rPr>
          <w:b/>
          <w:bCs/>
        </w:rPr>
        <w:t>10: dotací</w:t>
      </w:r>
      <w:r w:rsidR="00F7587C" w:rsidRPr="00FD2AB1">
        <w:t xml:space="preserve"> rozumějí vydané nebo přijaté peněžní prostředky, které jsou jakožto dotace označeny v právním předpise, na </w:t>
      </w:r>
      <w:proofErr w:type="gramStart"/>
      <w:r w:rsidR="00F7587C" w:rsidRPr="00FD2AB1">
        <w:t>základě</w:t>
      </w:r>
      <w:proofErr w:type="gramEnd"/>
      <w:r w:rsidR="00F7587C" w:rsidRPr="00FD2AB1">
        <w:t xml:space="preserve"> kterého se poskytují, nebo v rozhodnutí nebo ve smlouvě, podle kterých se poskytují, a které odpovídají definici transferu. Dotace jsou intencionální (dotace ex ante), kompenzační (dotace ex post) a smíšené. Intencionálními dotacemi jsou dotace, které se poskytují na budoucí výdaje a finančně se vypořádávají se [§ 75 zákona č. 218/2000 Sb., ve znění zákonů č. 479/2003 Sb. a č. 128/2016 Sb., vyhláška č. 367/2015 Sb. a § 10a odst. 1 písm. d) zákona č. 250/2000 Sb., ve znění zákona č. 24/2015 Sb.], kompenzačními dotacemi jsou dotace, které se poskytují na již vynaložené výdaje nebo na kompenzaci již vynaložených nákladů a finančně se nevypořádávají se (§ 4 odst. 5 vyhlášky č. 367/2015 Sb.), a smíšenými dotacemi jsou dotace, které se poskytují na budoucí výdaje i na výdaje již vynaložené nebo na kompenzaci již vynaložených nákladů (§ 4 odst. 5 věta druhá vyhlášky č. 367/2015 Sb.). Vydanou dotací není výdaj a přijatou dotací není příjem, který neodpovídá definici transferu podle bodu 75, i když je v příslušném právním aktu jako dotace označen. </w:t>
      </w:r>
      <w:bookmarkStart w:id="15" w:name="_Hlk93527246"/>
      <w:r w:rsidR="00F7587C" w:rsidRPr="00FD2AB1">
        <w:rPr>
          <w:b/>
          <w:bCs/>
        </w:rPr>
        <w:t>Výdaj, kterým se převádějí peněžní prostředky právnické nebo fyzické osobě k náhradě výdajů nebo nákladů, které vynaložila, a příjem, který k náhradě takových výdajů nebo nákladů dostává, je dotací jen v případě, že tyto výdaje nebo náklady vynaložila dobrovolně a že převedené peněžní prostředky jsou jako dotace v příslušném právním aktu označeny.</w:t>
      </w:r>
      <w:bookmarkEnd w:id="15"/>
      <w:r w:rsidR="00F7587C" w:rsidRPr="00FD2AB1">
        <w:t xml:space="preserve"> </w:t>
      </w:r>
      <w:r w:rsidR="00F7587C" w:rsidRPr="00FD2AB1">
        <w:rPr>
          <w:b/>
          <w:bCs/>
        </w:rPr>
        <w:t>V opačném případě není dotací ani jiným transferem, ale náhradou,</w:t>
      </w:r>
    </w:p>
    <w:p w14:paraId="45A9E2EE" w14:textId="77777777" w:rsidR="00F7587C" w:rsidRPr="00FD2AB1" w:rsidRDefault="00F7587C" w:rsidP="00FD2AB1">
      <w:pPr>
        <w:spacing w:after="120"/>
        <w:jc w:val="both"/>
        <w:rPr>
          <w:rFonts w:ascii="Times New Roman" w:hAnsi="Times New Roman" w:cs="Times New Roman"/>
          <w:i/>
          <w:iCs/>
          <w:sz w:val="24"/>
          <w:szCs w:val="24"/>
        </w:rPr>
      </w:pPr>
      <w:r w:rsidRPr="00FD2AB1">
        <w:rPr>
          <w:rFonts w:ascii="Times New Roman" w:hAnsi="Times New Roman" w:cs="Times New Roman"/>
          <w:b/>
          <w:bCs/>
          <w:i/>
          <w:iCs/>
          <w:sz w:val="24"/>
          <w:szCs w:val="24"/>
        </w:rPr>
        <w:t>Komentář:</w:t>
      </w:r>
      <w:r w:rsidRPr="00FD2AB1">
        <w:rPr>
          <w:rFonts w:ascii="Times New Roman" w:hAnsi="Times New Roman" w:cs="Times New Roman"/>
          <w:i/>
          <w:iCs/>
          <w:sz w:val="24"/>
          <w:szCs w:val="24"/>
        </w:rPr>
        <w:t xml:space="preserve"> V rozpočtové skladbě se již několik let pracuje s rozdělením náhrad a dotací. Účetně však dle MF obojí účtujeme v režimu transferů (ČÚS 703). Pro určení, co je dle rozpočtové skladby dotací a co náhradou, bychom mohli vycházet z posledních dvou vět bodu 10. Pokud se výdaj poskytuje dobrovolně a např. ve smlouvě je uvedeno, že se jedná o dotaci, měli bychom jej třídit jako dotaci. Pokud se náhrada musí poskytnout a není v žádném právním aktu uvedeno, že se jedná o dotaci (smlouva, rozhodnutí, právní předpis – viz věta první bodu 10) pak se jedná o náhrady. </w:t>
      </w:r>
    </w:p>
    <w:p w14:paraId="66A5A8EB" w14:textId="1A738272" w:rsidR="00A24CC7" w:rsidRPr="00FD2AB1" w:rsidRDefault="00FD2AB1" w:rsidP="00FD2AB1">
      <w:pPr>
        <w:spacing w:after="120"/>
        <w:jc w:val="both"/>
      </w:pPr>
      <w:r w:rsidRPr="00FD2AB1">
        <w:rPr>
          <w:b/>
          <w:bCs/>
        </w:rPr>
        <w:t xml:space="preserve">Pojem č. 13: </w:t>
      </w:r>
      <w:r w:rsidR="00A24CC7" w:rsidRPr="00FD2AB1">
        <w:rPr>
          <w:b/>
          <w:bCs/>
        </w:rPr>
        <w:t>finančním vypořádáním</w:t>
      </w:r>
      <w:r w:rsidR="00A24CC7" w:rsidRPr="00FD2AB1">
        <w:t xml:space="preserve"> rozumí postup podle vyhlášky č. 367/2015 Sb., o zásadách a lhůtách finančního vypořádání vztahů se státním rozpočtem, státními finančními aktivy a Národním fondem (vyhláška o finančním vypořádání), ve znění pozdějších předpisů,</w:t>
      </w:r>
    </w:p>
    <w:p w14:paraId="280FA377" w14:textId="7C86C7D0" w:rsidR="008B31AA" w:rsidRPr="00FD2AB1" w:rsidRDefault="005F74AB" w:rsidP="00FD2AB1">
      <w:pPr>
        <w:spacing w:after="120"/>
        <w:jc w:val="both"/>
      </w:pPr>
      <w:r w:rsidRPr="00FD2AB1">
        <w:rPr>
          <w:b/>
          <w:bCs/>
        </w:rPr>
        <w:t xml:space="preserve">Pojem č. 58: </w:t>
      </w:r>
      <w:r w:rsidR="008B31AA" w:rsidRPr="00FD2AB1">
        <w:rPr>
          <w:b/>
          <w:bCs/>
        </w:rPr>
        <w:t xml:space="preserve">prostředníkem </w:t>
      </w:r>
      <w:r w:rsidR="008B31AA" w:rsidRPr="00FD2AB1">
        <w:t xml:space="preserve">rozumí subjekt, kterému plátce předává peněžní prostředky a pověřuje ho, aby je předal příjemci. Prostředníky jsou subjekty, k jejichž činnosti patří zprostředkovávání plateb, zejména poskytovatelé platebních služeb [§ 1 písm. c) a § 3 a 5 zákona č. 370/2017 Sb., o platebním styku] a pošta [§ 3 odst. 1 písm. c) zákona č. 29/2000 Sb., o poštovních službách a o změně některých zákonů (zákon o poštovních službách), ve znění zákona č. 221/2012 Sb.], a organizační složky státu nebo právnické osoby, jimž ukládá zákon, že určité platby mají zprostředkovávat (§ 16 odst. 1, § 19 odst. 2 a § 44a odst. 1, 2, 3 a 13 rozpočtových pravidel, § 28 odst. 15 zákona o rozpočtových pravidlech územních rozpočtů), nebo s nimiž zprostředkování určitých plateb organizace dohodne. Prostředník jedná podle pokynů plátce a nerozhoduje, jaké </w:t>
      </w:r>
      <w:proofErr w:type="gramStart"/>
      <w:r w:rsidR="008B31AA" w:rsidRPr="00FD2AB1">
        <w:t>osobě</w:t>
      </w:r>
      <w:proofErr w:type="gramEnd"/>
      <w:r w:rsidR="008B31AA" w:rsidRPr="00FD2AB1">
        <w:t xml:space="preserve"> jakou peněžní částku poukáže, doručí nebo jinak předá,</w:t>
      </w:r>
    </w:p>
    <w:p w14:paraId="7AFEE6BE" w14:textId="77777777" w:rsidR="008B31AA" w:rsidRPr="00FD2AB1" w:rsidRDefault="008B31AA" w:rsidP="00FD2AB1">
      <w:pPr>
        <w:spacing w:after="120"/>
        <w:jc w:val="both"/>
        <w:rPr>
          <w:rFonts w:ascii="Times New Roman" w:hAnsi="Times New Roman" w:cs="Times New Roman"/>
          <w:i/>
          <w:iCs/>
          <w:sz w:val="24"/>
          <w:szCs w:val="24"/>
        </w:rPr>
      </w:pPr>
      <w:r w:rsidRPr="00FD2AB1">
        <w:rPr>
          <w:rFonts w:ascii="Times New Roman" w:hAnsi="Times New Roman" w:cs="Times New Roman"/>
          <w:b/>
          <w:bCs/>
          <w:i/>
          <w:iCs/>
          <w:sz w:val="24"/>
          <w:szCs w:val="24"/>
        </w:rPr>
        <w:t xml:space="preserve">Komentář: </w:t>
      </w:r>
      <w:r w:rsidRPr="00FD2AB1">
        <w:rPr>
          <w:rFonts w:ascii="Times New Roman" w:hAnsi="Times New Roman" w:cs="Times New Roman"/>
          <w:i/>
          <w:iCs/>
          <w:sz w:val="24"/>
          <w:szCs w:val="24"/>
        </w:rPr>
        <w:t xml:space="preserve">Ustanovení je důležité ohledně určení např. příjmové položky u dotací, kde se volí položka dle právní formy poskytovatele, ne prostředníka. Podrobněji „prostředníky“ a „průběžky“ z hlediska volby konkrétních položek v případech převodů od </w:t>
      </w:r>
      <w:proofErr w:type="gramStart"/>
      <w:r w:rsidRPr="00FD2AB1">
        <w:rPr>
          <w:rFonts w:ascii="Times New Roman" w:hAnsi="Times New Roman" w:cs="Times New Roman"/>
          <w:i/>
          <w:iCs/>
          <w:sz w:val="24"/>
          <w:szCs w:val="24"/>
        </w:rPr>
        <w:t>zprostředkovatelů- prostředníků</w:t>
      </w:r>
      <w:proofErr w:type="gramEnd"/>
      <w:r w:rsidRPr="00FD2AB1">
        <w:rPr>
          <w:rFonts w:ascii="Times New Roman" w:hAnsi="Times New Roman" w:cs="Times New Roman"/>
          <w:i/>
          <w:iCs/>
          <w:sz w:val="24"/>
          <w:szCs w:val="24"/>
        </w:rPr>
        <w:t xml:space="preserve"> řeší dále uvedené „Obecné zásady“.  </w:t>
      </w:r>
    </w:p>
    <w:p w14:paraId="5D305901" w14:textId="77777777" w:rsidR="00FD2AB1" w:rsidRPr="00FD2AB1" w:rsidRDefault="00FD2AB1" w:rsidP="00FD2AB1">
      <w:pPr>
        <w:spacing w:after="120"/>
        <w:jc w:val="both"/>
        <w:rPr>
          <w:b/>
          <w:bCs/>
        </w:rPr>
      </w:pPr>
    </w:p>
    <w:p w14:paraId="79BA3418" w14:textId="2B11993C" w:rsidR="008B31AA" w:rsidRPr="00FD2AB1" w:rsidRDefault="005F74AB" w:rsidP="00FD2AB1">
      <w:pPr>
        <w:spacing w:after="120"/>
        <w:jc w:val="both"/>
      </w:pPr>
      <w:r w:rsidRPr="00FD2AB1">
        <w:rPr>
          <w:b/>
          <w:bCs/>
        </w:rPr>
        <w:t xml:space="preserve">Pojem č. 59: </w:t>
      </w:r>
      <w:r w:rsidR="008B31AA" w:rsidRPr="00FD2AB1">
        <w:rPr>
          <w:b/>
          <w:bCs/>
        </w:rPr>
        <w:t>průběžkou</w:t>
      </w:r>
      <w:r w:rsidR="008B31AA" w:rsidRPr="00FD2AB1">
        <w:t xml:space="preserve"> rozumí přijetí a vydání peněžní částky organizací podle pokynů plátce, aniž by organizace </w:t>
      </w:r>
      <w:proofErr w:type="gramStart"/>
      <w:r w:rsidR="008B31AA" w:rsidRPr="00FD2AB1">
        <w:t>mohla</w:t>
      </w:r>
      <w:proofErr w:type="gramEnd"/>
      <w:r w:rsidR="008B31AA" w:rsidRPr="00FD2AB1">
        <w:t xml:space="preserve"> jakkoliv ovlivnit její účel; rozumí se jí i tato peněžní částka,</w:t>
      </w:r>
    </w:p>
    <w:p w14:paraId="776D7BA5" w14:textId="6FB8FB2E" w:rsidR="008B31AA" w:rsidRPr="00FD2AB1" w:rsidRDefault="005F74AB" w:rsidP="00FD2AB1">
      <w:pPr>
        <w:spacing w:after="120"/>
        <w:jc w:val="both"/>
      </w:pPr>
      <w:r w:rsidRPr="00FD2AB1">
        <w:rPr>
          <w:b/>
          <w:bCs/>
        </w:rPr>
        <w:t xml:space="preserve">Pojem č. 60: </w:t>
      </w:r>
      <w:r w:rsidR="008B31AA" w:rsidRPr="00FD2AB1">
        <w:rPr>
          <w:b/>
          <w:bCs/>
        </w:rPr>
        <w:t xml:space="preserve">průtokovou dotací </w:t>
      </w:r>
      <w:r w:rsidR="008B31AA" w:rsidRPr="00FD2AB1">
        <w:t>rozumí dotace, která je pro organizaci průběžkou,</w:t>
      </w:r>
    </w:p>
    <w:p w14:paraId="3E2D5DC1" w14:textId="60072868" w:rsidR="008B31AA" w:rsidRPr="00FD2AB1" w:rsidRDefault="005F74AB" w:rsidP="00FD2AB1">
      <w:pPr>
        <w:spacing w:after="120"/>
        <w:jc w:val="both"/>
      </w:pPr>
      <w:r w:rsidRPr="00FD2AB1">
        <w:rPr>
          <w:b/>
          <w:bCs/>
        </w:rPr>
        <w:lastRenderedPageBreak/>
        <w:t xml:space="preserve">Pojem č. 61: </w:t>
      </w:r>
      <w:r w:rsidR="008B31AA" w:rsidRPr="00FD2AB1">
        <w:rPr>
          <w:b/>
          <w:bCs/>
        </w:rPr>
        <w:t>průtokovým transferem</w:t>
      </w:r>
      <w:r w:rsidR="008B31AA" w:rsidRPr="00FD2AB1">
        <w:t xml:space="preserve"> rozumí transfer, který je pro organizaci průběžkou,</w:t>
      </w:r>
    </w:p>
    <w:p w14:paraId="1DDA8279" w14:textId="77777777" w:rsidR="008B31AA" w:rsidRPr="009E1945" w:rsidRDefault="008B31AA" w:rsidP="008B31AA">
      <w:pPr>
        <w:spacing w:after="120"/>
        <w:ind w:left="341"/>
        <w:jc w:val="both"/>
        <w:rPr>
          <w:i/>
          <w:iCs/>
          <w:color w:val="0070C0"/>
        </w:rPr>
      </w:pPr>
    </w:p>
    <w:p w14:paraId="2D97A08A" w14:textId="49370B63" w:rsidR="00F848B5" w:rsidRPr="003B165E" w:rsidRDefault="00F848B5" w:rsidP="00780F9D">
      <w:pPr>
        <w:pStyle w:val="Odstavecseseznamem"/>
        <w:autoSpaceDN/>
        <w:spacing w:after="120"/>
        <w:ind w:left="341"/>
        <w:contextualSpacing w:val="0"/>
        <w:jc w:val="both"/>
        <w:textAlignment w:val="auto"/>
        <w:rPr>
          <w:color w:val="0070C0"/>
        </w:rPr>
      </w:pPr>
    </w:p>
    <w:p w14:paraId="0DEAA04B" w14:textId="11212BFC" w:rsidR="00F7587C" w:rsidRDefault="002B6983" w:rsidP="002B6983">
      <w:pPr>
        <w:pStyle w:val="Nadpis2"/>
      </w:pPr>
      <w:bookmarkStart w:id="16" w:name="_Toc94608956"/>
      <w:bookmarkStart w:id="17" w:name="_Toc94609616"/>
      <w:r>
        <w:t xml:space="preserve">3.3. </w:t>
      </w:r>
      <w:r w:rsidR="00780F9D">
        <w:t xml:space="preserve">Problematické </w:t>
      </w:r>
      <w:r w:rsidR="00980818">
        <w:t xml:space="preserve">a ostatní </w:t>
      </w:r>
      <w:r w:rsidR="00780F9D" w:rsidRPr="002B6983">
        <w:t>pojmy</w:t>
      </w:r>
      <w:r w:rsidR="00780F9D">
        <w:t xml:space="preserve"> k</w:t>
      </w:r>
      <w:r>
        <w:t> dlouhodobému a drobnému dlouhodobému majetku a k majetku pod hranici s komentáři</w:t>
      </w:r>
      <w:bookmarkEnd w:id="16"/>
      <w:bookmarkEnd w:id="17"/>
      <w:r>
        <w:t xml:space="preserve"> </w:t>
      </w:r>
    </w:p>
    <w:p w14:paraId="3BDDAED6" w14:textId="18646095" w:rsidR="00A24CC7" w:rsidRDefault="00A24CC7" w:rsidP="00F7587C"/>
    <w:p w14:paraId="5DDA04FA" w14:textId="3BC6C964" w:rsidR="00F67890" w:rsidRPr="00891D85" w:rsidRDefault="00F67890" w:rsidP="00F00CFC">
      <w:pPr>
        <w:pStyle w:val="Nadpis3"/>
      </w:pPr>
      <w:bookmarkStart w:id="18" w:name="_Toc94609617"/>
      <w:r w:rsidRPr="00891D85">
        <w:t>Pojmy dlouhodobé věci (dlouhodobý majetek)</w:t>
      </w:r>
      <w:bookmarkEnd w:id="18"/>
      <w:r w:rsidRPr="00891D85">
        <w:t xml:space="preserve"> </w:t>
      </w:r>
    </w:p>
    <w:p w14:paraId="6A033617" w14:textId="23022230" w:rsidR="00ED5FF8" w:rsidRDefault="00F61E71" w:rsidP="00F7587C">
      <w:pPr>
        <w:rPr>
          <w:rFonts w:ascii="Times New Roman" w:hAnsi="Times New Roman" w:cs="Times New Roman"/>
          <w:sz w:val="24"/>
          <w:szCs w:val="24"/>
        </w:rPr>
      </w:pPr>
      <w:r w:rsidRPr="00F61E71">
        <w:rPr>
          <w:rFonts w:ascii="Times New Roman" w:hAnsi="Times New Roman" w:cs="Times New Roman"/>
          <w:sz w:val="24"/>
          <w:szCs w:val="24"/>
        </w:rPr>
        <w:t>Vyhláška o rozpočtové skladbě není prováděcím zákonem k zákonu o účetnictví, ale k zákonu č. 250/2000 Sb. Přesto při zachování základních logických souvislostí s účetnictví</w:t>
      </w:r>
      <w:r>
        <w:rPr>
          <w:rFonts w:ascii="Times New Roman" w:hAnsi="Times New Roman" w:cs="Times New Roman"/>
          <w:sz w:val="24"/>
          <w:szCs w:val="24"/>
        </w:rPr>
        <w:t>m</w:t>
      </w:r>
      <w:r w:rsidRPr="00F61E71">
        <w:rPr>
          <w:rFonts w:ascii="Times New Roman" w:hAnsi="Times New Roman" w:cs="Times New Roman"/>
          <w:sz w:val="24"/>
          <w:szCs w:val="24"/>
        </w:rPr>
        <w:t xml:space="preserve"> by mohl výkaz FIN </w:t>
      </w:r>
      <w:proofErr w:type="gramStart"/>
      <w:r w:rsidRPr="00F61E71">
        <w:rPr>
          <w:rFonts w:ascii="Times New Roman" w:hAnsi="Times New Roman" w:cs="Times New Roman"/>
          <w:sz w:val="24"/>
          <w:szCs w:val="24"/>
        </w:rPr>
        <w:t>2-12M</w:t>
      </w:r>
      <w:proofErr w:type="gramEnd"/>
      <w:r w:rsidRPr="00F61E71">
        <w:rPr>
          <w:rFonts w:ascii="Times New Roman" w:hAnsi="Times New Roman" w:cs="Times New Roman"/>
          <w:sz w:val="24"/>
          <w:szCs w:val="24"/>
        </w:rPr>
        <w:t xml:space="preserve"> být velmi přínosným a </w:t>
      </w:r>
      <w:r w:rsidR="00433926">
        <w:rPr>
          <w:rFonts w:ascii="Times New Roman" w:hAnsi="Times New Roman" w:cs="Times New Roman"/>
          <w:sz w:val="24"/>
          <w:szCs w:val="24"/>
        </w:rPr>
        <w:t>ceněným</w:t>
      </w:r>
      <w:r w:rsidRPr="00F61E71">
        <w:rPr>
          <w:rFonts w:ascii="Times New Roman" w:hAnsi="Times New Roman" w:cs="Times New Roman"/>
          <w:sz w:val="24"/>
          <w:szCs w:val="24"/>
        </w:rPr>
        <w:t xml:space="preserve"> výkazem o peněžních tocích</w:t>
      </w:r>
      <w:r w:rsidR="00433926">
        <w:rPr>
          <w:rFonts w:ascii="Times New Roman" w:hAnsi="Times New Roman" w:cs="Times New Roman"/>
          <w:sz w:val="24"/>
          <w:szCs w:val="24"/>
        </w:rPr>
        <w:t xml:space="preserve">, a to sestavovaný tzv. přímou metodou. </w:t>
      </w:r>
      <w:r>
        <w:rPr>
          <w:rFonts w:ascii="Times New Roman" w:hAnsi="Times New Roman" w:cs="Times New Roman"/>
          <w:sz w:val="24"/>
          <w:szCs w:val="24"/>
        </w:rPr>
        <w:t>K</w:t>
      </w:r>
      <w:r w:rsidR="00433926">
        <w:rPr>
          <w:rFonts w:ascii="Times New Roman" w:hAnsi="Times New Roman" w:cs="Times New Roman"/>
          <w:sz w:val="24"/>
          <w:szCs w:val="24"/>
        </w:rPr>
        <w:t> </w:t>
      </w:r>
      <w:r>
        <w:rPr>
          <w:rFonts w:ascii="Times New Roman" w:hAnsi="Times New Roman" w:cs="Times New Roman"/>
          <w:sz w:val="24"/>
          <w:szCs w:val="24"/>
        </w:rPr>
        <w:t>tomu</w:t>
      </w:r>
      <w:r w:rsidR="00433926">
        <w:rPr>
          <w:rFonts w:ascii="Times New Roman" w:hAnsi="Times New Roman" w:cs="Times New Roman"/>
          <w:sz w:val="24"/>
          <w:szCs w:val="24"/>
        </w:rPr>
        <w:t>to cíli</w:t>
      </w:r>
      <w:r>
        <w:rPr>
          <w:rFonts w:ascii="Times New Roman" w:hAnsi="Times New Roman" w:cs="Times New Roman"/>
          <w:sz w:val="24"/>
          <w:szCs w:val="24"/>
        </w:rPr>
        <w:t xml:space="preserve"> by v první řadě muselo být dořešeno jednotné vykazování plateb DPH u plátců (ne rozdílně jak je tomu v případě </w:t>
      </w:r>
      <w:r w:rsidR="00FD2AB1">
        <w:rPr>
          <w:rFonts w:ascii="Times New Roman" w:hAnsi="Times New Roman" w:cs="Times New Roman"/>
          <w:sz w:val="24"/>
          <w:szCs w:val="24"/>
        </w:rPr>
        <w:t>přenesené daňové povinnos</w:t>
      </w:r>
      <w:r w:rsidR="00FD2AB1" w:rsidRPr="00FD2AB1">
        <w:rPr>
          <w:rFonts w:ascii="Times New Roman" w:hAnsi="Times New Roman" w:cs="Times New Roman"/>
          <w:sz w:val="24"/>
          <w:szCs w:val="24"/>
        </w:rPr>
        <w:t>ti</w:t>
      </w:r>
      <w:r w:rsidRPr="00FD2AB1">
        <w:rPr>
          <w:rFonts w:ascii="Times New Roman" w:hAnsi="Times New Roman" w:cs="Times New Roman"/>
          <w:sz w:val="24"/>
          <w:szCs w:val="24"/>
        </w:rPr>
        <w:t>)</w:t>
      </w:r>
      <w:r w:rsidRPr="00912D0F">
        <w:rPr>
          <w:rFonts w:ascii="Times New Roman" w:hAnsi="Times New Roman" w:cs="Times New Roman"/>
          <w:b/>
          <w:bCs/>
          <w:sz w:val="24"/>
          <w:szCs w:val="24"/>
        </w:rPr>
        <w:t xml:space="preserve"> a velmi by pomohlo, kdyby se v případě dlouhodobého majetku</w:t>
      </w:r>
      <w:r w:rsidR="00912D0F" w:rsidRPr="00912D0F">
        <w:rPr>
          <w:rFonts w:ascii="Times New Roman" w:hAnsi="Times New Roman" w:cs="Times New Roman"/>
          <w:b/>
          <w:bCs/>
          <w:sz w:val="24"/>
          <w:szCs w:val="24"/>
        </w:rPr>
        <w:t xml:space="preserve"> (a to i nehmotného)</w:t>
      </w:r>
      <w:r w:rsidRPr="00912D0F">
        <w:rPr>
          <w:rFonts w:ascii="Times New Roman" w:hAnsi="Times New Roman" w:cs="Times New Roman"/>
          <w:b/>
          <w:bCs/>
          <w:sz w:val="24"/>
          <w:szCs w:val="24"/>
        </w:rPr>
        <w:t xml:space="preserve">, technického zhodnocení a oprav vycházelo </w:t>
      </w:r>
      <w:r w:rsidR="00912D0F" w:rsidRPr="00912D0F">
        <w:rPr>
          <w:rFonts w:ascii="Times New Roman" w:hAnsi="Times New Roman" w:cs="Times New Roman"/>
          <w:b/>
          <w:bCs/>
          <w:sz w:val="24"/>
          <w:szCs w:val="24"/>
        </w:rPr>
        <w:t>z</w:t>
      </w:r>
      <w:r w:rsidRPr="00912D0F">
        <w:rPr>
          <w:rFonts w:ascii="Times New Roman" w:hAnsi="Times New Roman" w:cs="Times New Roman"/>
          <w:b/>
          <w:bCs/>
          <w:sz w:val="24"/>
          <w:szCs w:val="24"/>
        </w:rPr>
        <w:t> definic daných účetními předpisy.</w:t>
      </w:r>
      <w:r>
        <w:rPr>
          <w:rFonts w:ascii="Times New Roman" w:hAnsi="Times New Roman" w:cs="Times New Roman"/>
          <w:sz w:val="24"/>
          <w:szCs w:val="24"/>
        </w:rPr>
        <w:t xml:space="preserve"> Rozpočtáři často prosazují odchýlení se u rozpočtové skladby od účetních předpisů, ale řádný důvod k tomu není. </w:t>
      </w:r>
      <w:r w:rsidR="00912D0F">
        <w:rPr>
          <w:rFonts w:ascii="Times New Roman" w:hAnsi="Times New Roman" w:cs="Times New Roman"/>
          <w:sz w:val="24"/>
          <w:szCs w:val="24"/>
        </w:rPr>
        <w:t>Výše uvedené nezabraňuje nijak rozpočtové skladbě v podrobném třídění, případně i třídění z jiných hledisek. Hovoříme jen o dodržování základních souvislostí. Často i kontroloři při přezkumech vyžadují kontrolní vazby např. kapitálových položek na přírůstky na účtech dlouhodobých majetků, položky 5137 na přírůstek účtu DD</w:t>
      </w:r>
      <w:r w:rsidR="006406AD">
        <w:rPr>
          <w:rFonts w:ascii="Times New Roman" w:hAnsi="Times New Roman" w:cs="Times New Roman"/>
          <w:sz w:val="24"/>
          <w:szCs w:val="24"/>
        </w:rPr>
        <w:t>H</w:t>
      </w:r>
      <w:r w:rsidR="00912D0F">
        <w:rPr>
          <w:rFonts w:ascii="Times New Roman" w:hAnsi="Times New Roman" w:cs="Times New Roman"/>
          <w:sz w:val="24"/>
          <w:szCs w:val="24"/>
        </w:rPr>
        <w:t>M (</w:t>
      </w:r>
      <w:r w:rsidR="006406AD">
        <w:rPr>
          <w:rFonts w:ascii="Times New Roman" w:hAnsi="Times New Roman" w:cs="Times New Roman"/>
          <w:sz w:val="24"/>
          <w:szCs w:val="24"/>
        </w:rPr>
        <w:t xml:space="preserve">účet </w:t>
      </w:r>
      <w:r w:rsidR="00912D0F">
        <w:rPr>
          <w:rFonts w:ascii="Times New Roman" w:hAnsi="Times New Roman" w:cs="Times New Roman"/>
          <w:sz w:val="24"/>
          <w:szCs w:val="24"/>
        </w:rPr>
        <w:t>028</w:t>
      </w:r>
      <w:r w:rsidR="006406AD">
        <w:rPr>
          <w:rFonts w:ascii="Times New Roman" w:hAnsi="Times New Roman" w:cs="Times New Roman"/>
          <w:sz w:val="24"/>
          <w:szCs w:val="24"/>
        </w:rPr>
        <w:t xml:space="preserve"> MD</w:t>
      </w:r>
      <w:r w:rsidR="00912D0F">
        <w:rPr>
          <w:rFonts w:ascii="Times New Roman" w:hAnsi="Times New Roman" w:cs="Times New Roman"/>
          <w:sz w:val="24"/>
          <w:szCs w:val="24"/>
        </w:rPr>
        <w:t>) apod. V některých krajích jsou i důkladně kontrolovány vazby položek na nákladové a výnosové účty, které</w:t>
      </w:r>
      <w:r w:rsidR="00ED5FF8">
        <w:rPr>
          <w:rFonts w:ascii="Times New Roman" w:hAnsi="Times New Roman" w:cs="Times New Roman"/>
          <w:sz w:val="24"/>
          <w:szCs w:val="24"/>
        </w:rPr>
        <w:t xml:space="preserve"> však</w:t>
      </w:r>
      <w:r w:rsidR="00912D0F">
        <w:rPr>
          <w:rFonts w:ascii="Times New Roman" w:hAnsi="Times New Roman" w:cs="Times New Roman"/>
          <w:sz w:val="24"/>
          <w:szCs w:val="24"/>
        </w:rPr>
        <w:t xml:space="preserve"> často nejsou oprávněné. </w:t>
      </w:r>
    </w:p>
    <w:p w14:paraId="1BF02109" w14:textId="66AEDDC5" w:rsidR="00ED5FF8" w:rsidRDefault="006406AD" w:rsidP="00F7587C">
      <w:pPr>
        <w:rPr>
          <w:rFonts w:ascii="Times New Roman" w:hAnsi="Times New Roman" w:cs="Times New Roman"/>
          <w:sz w:val="24"/>
          <w:szCs w:val="24"/>
        </w:rPr>
      </w:pPr>
      <w:r>
        <w:rPr>
          <w:rFonts w:ascii="Times New Roman" w:hAnsi="Times New Roman" w:cs="Times New Roman"/>
          <w:sz w:val="24"/>
          <w:szCs w:val="24"/>
        </w:rPr>
        <w:t xml:space="preserve">Musíme si uvědomit, že rozpočtová skladba se nepoužívá jen při sestavení rozpočtu, ale především při zaúčtování účetních případů příjmů a výdajů. </w:t>
      </w:r>
      <w:r w:rsidR="00433926">
        <w:rPr>
          <w:rFonts w:ascii="Times New Roman" w:hAnsi="Times New Roman" w:cs="Times New Roman"/>
          <w:sz w:val="24"/>
          <w:szCs w:val="24"/>
        </w:rPr>
        <w:t>N</w:t>
      </w:r>
      <w:r>
        <w:rPr>
          <w:rFonts w:ascii="Times New Roman" w:hAnsi="Times New Roman" w:cs="Times New Roman"/>
          <w:sz w:val="24"/>
          <w:szCs w:val="24"/>
        </w:rPr>
        <w:t>apř.</w:t>
      </w:r>
      <w:r w:rsidR="00433926">
        <w:rPr>
          <w:rFonts w:ascii="Times New Roman" w:hAnsi="Times New Roman" w:cs="Times New Roman"/>
          <w:sz w:val="24"/>
          <w:szCs w:val="24"/>
        </w:rPr>
        <w:t xml:space="preserve"> při dodržování rozpočtové skladby i účetních předpisů</w:t>
      </w:r>
      <w:r>
        <w:rPr>
          <w:rFonts w:ascii="Times New Roman" w:hAnsi="Times New Roman" w:cs="Times New Roman"/>
          <w:sz w:val="24"/>
          <w:szCs w:val="24"/>
        </w:rPr>
        <w:t xml:space="preserve"> pořizujeme dlouhodobý nehmotný majetek Lesní hospodářské osnovy</w:t>
      </w:r>
      <w:r w:rsidR="00980818">
        <w:rPr>
          <w:rFonts w:ascii="Times New Roman" w:hAnsi="Times New Roman" w:cs="Times New Roman"/>
          <w:sz w:val="24"/>
          <w:szCs w:val="24"/>
        </w:rPr>
        <w:t xml:space="preserve"> (vedeme je jako dlouhodobý majetek dle rozhodnutí účetní jednotky – vyhláška č. 410/2019 Sb., §11 odst.8)</w:t>
      </w:r>
      <w:r>
        <w:rPr>
          <w:rFonts w:ascii="Times New Roman" w:hAnsi="Times New Roman" w:cs="Times New Roman"/>
          <w:sz w:val="24"/>
          <w:szCs w:val="24"/>
        </w:rPr>
        <w:t xml:space="preserve">, </w:t>
      </w:r>
      <w:r w:rsidR="00433926">
        <w:rPr>
          <w:rFonts w:ascii="Times New Roman" w:hAnsi="Times New Roman" w:cs="Times New Roman"/>
          <w:sz w:val="24"/>
          <w:szCs w:val="24"/>
        </w:rPr>
        <w:t xml:space="preserve">třídíme </w:t>
      </w:r>
      <w:r>
        <w:rPr>
          <w:rFonts w:ascii="Times New Roman" w:hAnsi="Times New Roman" w:cs="Times New Roman"/>
          <w:sz w:val="24"/>
          <w:szCs w:val="24"/>
        </w:rPr>
        <w:t>jej přes položku 5169 dle rozpočtové skladby (náplň položky 5811), ale předepisujeme na účet 041 – pořizování nedokončeného dlouhodobého nehmotného majetku. Toto uvádíme jako příklad narušení základních logických vazeb. Moc by pomohlo, kdyby se v případě některých pojmů odkazovalo přímo na účetní předpisy, především u níže uvedeného dlouhodobého majetku a technického zhodnocení</w:t>
      </w:r>
      <w:r w:rsidR="00ED5FF8">
        <w:rPr>
          <w:rFonts w:ascii="Times New Roman" w:hAnsi="Times New Roman" w:cs="Times New Roman"/>
          <w:sz w:val="24"/>
          <w:szCs w:val="24"/>
        </w:rPr>
        <w:t xml:space="preserve">, viz komentář k bodům pojmů ve vztahu k dlouhodobému majetku. </w:t>
      </w:r>
      <w:r>
        <w:rPr>
          <w:rFonts w:ascii="Times New Roman" w:hAnsi="Times New Roman" w:cs="Times New Roman"/>
          <w:sz w:val="24"/>
          <w:szCs w:val="24"/>
        </w:rPr>
        <w:t xml:space="preserve"> </w:t>
      </w:r>
    </w:p>
    <w:p w14:paraId="43407417" w14:textId="33E512A3" w:rsidR="00ED5FF8" w:rsidRDefault="00ED5FF8" w:rsidP="00F7587C">
      <w:pPr>
        <w:rPr>
          <w:rFonts w:ascii="Times New Roman" w:hAnsi="Times New Roman" w:cs="Times New Roman"/>
          <w:sz w:val="24"/>
          <w:szCs w:val="24"/>
        </w:rPr>
      </w:pPr>
      <w:r>
        <w:rPr>
          <w:rFonts w:ascii="Times New Roman" w:hAnsi="Times New Roman" w:cs="Times New Roman"/>
          <w:sz w:val="24"/>
          <w:szCs w:val="24"/>
        </w:rPr>
        <w:t xml:space="preserve">Zajímavé je, že vyhláška s odkazy </w:t>
      </w:r>
      <w:r w:rsidR="00980818">
        <w:rPr>
          <w:rFonts w:ascii="Times New Roman" w:hAnsi="Times New Roman" w:cs="Times New Roman"/>
          <w:sz w:val="24"/>
          <w:szCs w:val="24"/>
        </w:rPr>
        <w:t xml:space="preserve">u </w:t>
      </w:r>
      <w:r w:rsidR="00E26B23">
        <w:rPr>
          <w:rFonts w:ascii="Times New Roman" w:hAnsi="Times New Roman" w:cs="Times New Roman"/>
          <w:sz w:val="24"/>
          <w:szCs w:val="24"/>
        </w:rPr>
        <w:t xml:space="preserve">dlouhodobého majetku </w:t>
      </w:r>
      <w:r>
        <w:rPr>
          <w:rFonts w:ascii="Times New Roman" w:hAnsi="Times New Roman" w:cs="Times New Roman"/>
          <w:sz w:val="24"/>
          <w:szCs w:val="24"/>
        </w:rPr>
        <w:t xml:space="preserve">na účetní předpisy problém nemá, jen jsou uvedeny tam, </w:t>
      </w:r>
      <w:r w:rsidR="00E26B23">
        <w:rPr>
          <w:rFonts w:ascii="Times New Roman" w:hAnsi="Times New Roman" w:cs="Times New Roman"/>
          <w:sz w:val="24"/>
          <w:szCs w:val="24"/>
        </w:rPr>
        <w:t xml:space="preserve">kde je nelze </w:t>
      </w:r>
      <w:r w:rsidR="007C0D75">
        <w:rPr>
          <w:rFonts w:ascii="Times New Roman" w:hAnsi="Times New Roman" w:cs="Times New Roman"/>
          <w:sz w:val="24"/>
          <w:szCs w:val="24"/>
        </w:rPr>
        <w:t xml:space="preserve">plně využít. Například u </w:t>
      </w:r>
      <w:r w:rsidR="00ED7DB5">
        <w:rPr>
          <w:rFonts w:ascii="Times New Roman" w:hAnsi="Times New Roman" w:cs="Times New Roman"/>
          <w:sz w:val="24"/>
          <w:szCs w:val="24"/>
        </w:rPr>
        <w:t xml:space="preserve">seskupení položek 63 </w:t>
      </w:r>
      <w:r w:rsidR="00980818">
        <w:rPr>
          <w:rFonts w:ascii="Times New Roman" w:hAnsi="Times New Roman" w:cs="Times New Roman"/>
          <w:sz w:val="24"/>
          <w:szCs w:val="24"/>
        </w:rPr>
        <w:t xml:space="preserve">(investiční transfery) </w:t>
      </w:r>
      <w:r w:rsidR="00ED7DB5">
        <w:rPr>
          <w:rFonts w:ascii="Times New Roman" w:hAnsi="Times New Roman" w:cs="Times New Roman"/>
          <w:sz w:val="24"/>
          <w:szCs w:val="24"/>
        </w:rPr>
        <w:t>a 64</w:t>
      </w:r>
      <w:r w:rsidR="00980818">
        <w:rPr>
          <w:rFonts w:ascii="Times New Roman" w:hAnsi="Times New Roman" w:cs="Times New Roman"/>
          <w:sz w:val="24"/>
          <w:szCs w:val="24"/>
        </w:rPr>
        <w:t xml:space="preserve"> (investiční půjčky)</w:t>
      </w:r>
      <w:r w:rsidR="00ED7DB5">
        <w:rPr>
          <w:rFonts w:ascii="Times New Roman" w:hAnsi="Times New Roman" w:cs="Times New Roman"/>
          <w:sz w:val="24"/>
          <w:szCs w:val="24"/>
        </w:rPr>
        <w:t xml:space="preserve"> je uvedeno: </w:t>
      </w:r>
    </w:p>
    <w:p w14:paraId="53E3C507" w14:textId="7608D998" w:rsidR="00ED7DB5" w:rsidRDefault="00ED7DB5" w:rsidP="00ED7DB5">
      <w:pPr>
        <w:spacing w:after="120" w:line="240" w:lineRule="auto"/>
        <w:jc w:val="both"/>
        <w:rPr>
          <w:color w:val="000000"/>
        </w:rPr>
      </w:pPr>
      <w:r w:rsidRPr="00ED7DB5">
        <w:rPr>
          <w:color w:val="000000"/>
          <w:highlight w:val="lightGray"/>
        </w:rPr>
        <w:t>Rozpočtová jednotka postupuje podle vyhlášky k provedení zákona o účetnictví, která upravuje vymezení dlouhodobého hmotného a dlouhodobého nehmotného majetku.</w:t>
      </w:r>
    </w:p>
    <w:p w14:paraId="7631F7FC" w14:textId="214A8D01" w:rsidR="00980818" w:rsidRPr="00980818" w:rsidRDefault="00980818" w:rsidP="00ED7DB5">
      <w:pPr>
        <w:spacing w:after="120" w:line="240" w:lineRule="auto"/>
        <w:jc w:val="both"/>
        <w:rPr>
          <w:rFonts w:ascii="Times New Roman" w:hAnsi="Times New Roman" w:cs="Times New Roman"/>
          <w:color w:val="000000"/>
          <w:sz w:val="24"/>
          <w:szCs w:val="24"/>
        </w:rPr>
      </w:pPr>
      <w:r w:rsidRPr="00980818">
        <w:rPr>
          <w:rFonts w:ascii="Times New Roman" w:hAnsi="Times New Roman" w:cs="Times New Roman"/>
          <w:color w:val="000000"/>
          <w:sz w:val="24"/>
          <w:szCs w:val="24"/>
        </w:rPr>
        <w:t xml:space="preserve">Tento text vyhlášky je dalším argumentem pro dílčí závěr, které je uveden v komentáři k pojmu dlouhodobý hmotný majetek. </w:t>
      </w:r>
    </w:p>
    <w:p w14:paraId="5428D4DF" w14:textId="4097D5C1" w:rsidR="00F61E71" w:rsidRPr="00F61E71" w:rsidRDefault="00ED5FF8" w:rsidP="00F7587C">
      <w:pPr>
        <w:rPr>
          <w:rFonts w:ascii="Times New Roman" w:hAnsi="Times New Roman" w:cs="Times New Roman"/>
          <w:sz w:val="24"/>
          <w:szCs w:val="24"/>
        </w:rPr>
      </w:pPr>
      <w:r>
        <w:rPr>
          <w:rFonts w:ascii="Times New Roman" w:hAnsi="Times New Roman" w:cs="Times New Roman"/>
          <w:sz w:val="24"/>
          <w:szCs w:val="24"/>
        </w:rPr>
        <w:t xml:space="preserve">Pravidelně se opakuje i snaha předkladatelů předpisů k rozpočtové skladbě o třídění majetku dle výše jednotlivých faktur, od čehož se vždy po několika letech ustupuje, jako od nesprávnosti. Nikdy nemůže mít vliv výše dílčích faktur na zatřídění v případě dlouhodobého majetku.  Letos se s tím setkáváme znovu, viz komentář k nadlimitnímu věcnému břemeni a k nadlimitnímu TZ. </w:t>
      </w:r>
    </w:p>
    <w:p w14:paraId="6322E082" w14:textId="493E2B73" w:rsidR="00433926" w:rsidRPr="00433926" w:rsidRDefault="00433926" w:rsidP="004A428C">
      <w:pPr>
        <w:spacing w:after="120"/>
        <w:jc w:val="both"/>
        <w:rPr>
          <w:rFonts w:ascii="Times New Roman" w:hAnsi="Times New Roman" w:cs="Times New Roman"/>
          <w:sz w:val="24"/>
          <w:szCs w:val="24"/>
          <w:u w:val="single"/>
        </w:rPr>
      </w:pPr>
      <w:r w:rsidRPr="00433926">
        <w:rPr>
          <w:rFonts w:ascii="Times New Roman" w:hAnsi="Times New Roman" w:cs="Times New Roman"/>
          <w:sz w:val="24"/>
          <w:szCs w:val="24"/>
          <w:u w:val="single"/>
        </w:rPr>
        <w:lastRenderedPageBreak/>
        <w:t xml:space="preserve">Vymezení dlouhodobého majetku v pokynu: </w:t>
      </w:r>
    </w:p>
    <w:p w14:paraId="1CBCA233" w14:textId="5D7EC39A" w:rsidR="00F67890" w:rsidRPr="004A428C" w:rsidRDefault="004A428C" w:rsidP="004A428C">
      <w:pPr>
        <w:spacing w:after="120"/>
        <w:jc w:val="both"/>
      </w:pPr>
      <w:r w:rsidRPr="004A428C">
        <w:t xml:space="preserve">Pojem č. 4: </w:t>
      </w:r>
      <w:r w:rsidR="00F67890" w:rsidRPr="004A428C">
        <w:t>dlouhodobými věcmi (dlouhodobým majetkem) dlouhodobé hmotné věci (dlouhodobý hmotný majetek) a dlouhodobé nehmotné věci (dlouhodobý nehmotný majetek),</w:t>
      </w:r>
    </w:p>
    <w:p w14:paraId="7B1C8C81" w14:textId="544454EE" w:rsidR="002B6983" w:rsidRPr="004A428C" w:rsidRDefault="004A428C" w:rsidP="004A428C">
      <w:pPr>
        <w:spacing w:after="120"/>
        <w:jc w:val="both"/>
      </w:pPr>
      <w:r w:rsidRPr="004A428C">
        <w:rPr>
          <w:b/>
          <w:bCs/>
        </w:rPr>
        <w:t xml:space="preserve">Pojem č. 2: </w:t>
      </w:r>
      <w:r w:rsidR="002B6983" w:rsidRPr="004A428C">
        <w:rPr>
          <w:b/>
          <w:bCs/>
        </w:rPr>
        <w:t>dlouhodobými hmotnými věcmi</w:t>
      </w:r>
      <w:r w:rsidR="002B6983" w:rsidRPr="004A428C">
        <w:t xml:space="preserve"> (dlouhodobým hmotným majetkem) rozumějí hmotné věci (§ 496 odst. 1 občanského zákoníku), které jsou někým vlastněny a kterými jsou </w:t>
      </w:r>
    </w:p>
    <w:p w14:paraId="114721EF" w14:textId="77777777" w:rsidR="002B6983" w:rsidRPr="004A428C" w:rsidRDefault="002B6983" w:rsidP="002B6983">
      <w:pPr>
        <w:pStyle w:val="Odstavecseseznamem"/>
        <w:numPr>
          <w:ilvl w:val="0"/>
          <w:numId w:val="5"/>
        </w:numPr>
        <w:autoSpaceDN/>
        <w:spacing w:after="120"/>
        <w:ind w:left="664" w:hanging="284"/>
        <w:contextualSpacing w:val="0"/>
        <w:jc w:val="both"/>
        <w:textAlignment w:val="auto"/>
        <w:rPr>
          <w:rFonts w:asciiTheme="minorHAnsi" w:hAnsiTheme="minorHAnsi" w:cstheme="minorHAnsi"/>
          <w:sz w:val="22"/>
          <w:szCs w:val="22"/>
        </w:rPr>
      </w:pPr>
      <w:r w:rsidRPr="004A428C">
        <w:rPr>
          <w:rFonts w:asciiTheme="minorHAnsi" w:hAnsiTheme="minorHAnsi" w:cstheme="minorHAnsi"/>
          <w:sz w:val="22"/>
          <w:szCs w:val="22"/>
        </w:rPr>
        <w:t>pozemky [§ 2 písm. a) zákona č. 256/2013 Sb., o katastru nemovitostí (katastrální zákon), ve znění zákona č. 225/2017 Sb.], a to včetně součástí (§ 505 až 507 občanského zákoníku),</w:t>
      </w:r>
    </w:p>
    <w:p w14:paraId="70ED850B" w14:textId="77777777" w:rsidR="002B6983" w:rsidRPr="004A428C" w:rsidRDefault="002B6983" w:rsidP="002B6983">
      <w:pPr>
        <w:pStyle w:val="Odstavecseseznamem"/>
        <w:numPr>
          <w:ilvl w:val="0"/>
          <w:numId w:val="5"/>
        </w:numPr>
        <w:autoSpaceDN/>
        <w:spacing w:after="120"/>
        <w:ind w:left="664" w:hanging="284"/>
        <w:contextualSpacing w:val="0"/>
        <w:jc w:val="both"/>
        <w:textAlignment w:val="auto"/>
        <w:rPr>
          <w:rFonts w:asciiTheme="minorHAnsi" w:hAnsiTheme="minorHAnsi" w:cstheme="minorHAnsi"/>
          <w:sz w:val="22"/>
          <w:szCs w:val="22"/>
        </w:rPr>
      </w:pPr>
      <w:r w:rsidRPr="004A428C">
        <w:rPr>
          <w:rFonts w:asciiTheme="minorHAnsi" w:hAnsiTheme="minorHAnsi" w:cstheme="minorHAnsi"/>
          <w:sz w:val="22"/>
          <w:szCs w:val="22"/>
        </w:rPr>
        <w:t>stavby [§ 2 odst. 3 zákona č. 183/2006 Sb., o územním plánování a stavebním řádu (stavební zákon), ve znění zákona č. 350/2012 Sb.], které nejsou součástí pozemku (§ 2055 občanského zákoníku); za stavbu se považují i součásti stavby, které mohou být předmětem vlastnictví nebo spoluvlastnictví,</w:t>
      </w:r>
    </w:p>
    <w:p w14:paraId="6315F22D" w14:textId="77777777" w:rsidR="002B6983" w:rsidRPr="004A428C" w:rsidRDefault="002B6983" w:rsidP="002B6983">
      <w:pPr>
        <w:pStyle w:val="Odstavecseseznamem"/>
        <w:numPr>
          <w:ilvl w:val="0"/>
          <w:numId w:val="5"/>
        </w:numPr>
        <w:autoSpaceDN/>
        <w:spacing w:after="120"/>
        <w:ind w:left="664" w:hanging="284"/>
        <w:contextualSpacing w:val="0"/>
        <w:jc w:val="both"/>
        <w:textAlignment w:val="auto"/>
        <w:rPr>
          <w:rFonts w:asciiTheme="minorHAnsi" w:hAnsiTheme="minorHAnsi" w:cstheme="minorHAnsi"/>
          <w:sz w:val="22"/>
          <w:szCs w:val="22"/>
        </w:rPr>
      </w:pPr>
      <w:r w:rsidRPr="004A428C">
        <w:rPr>
          <w:rFonts w:asciiTheme="minorHAnsi" w:hAnsiTheme="minorHAnsi" w:cstheme="minorHAnsi"/>
          <w:sz w:val="22"/>
          <w:szCs w:val="22"/>
        </w:rPr>
        <w:t>samostatné hmotné movité věci a jejich soubory, které jsou charakterizovány samostatným technicko-ekonomickým určením, jejichž doba použitelnosti je delší než rok a částka, která se vydává za jejich pořízení, převyšuje částku 40 000 Kč,</w:t>
      </w:r>
    </w:p>
    <w:p w14:paraId="5BF899DD" w14:textId="77777777" w:rsidR="002B6983" w:rsidRPr="004A428C" w:rsidRDefault="002B6983" w:rsidP="002B6983">
      <w:pPr>
        <w:pStyle w:val="Odstavecseseznamem"/>
        <w:numPr>
          <w:ilvl w:val="0"/>
          <w:numId w:val="5"/>
        </w:numPr>
        <w:autoSpaceDN/>
        <w:spacing w:after="120"/>
        <w:ind w:left="664" w:hanging="284"/>
        <w:contextualSpacing w:val="0"/>
        <w:jc w:val="both"/>
        <w:textAlignment w:val="auto"/>
        <w:rPr>
          <w:rFonts w:asciiTheme="minorHAnsi" w:hAnsiTheme="minorHAnsi" w:cstheme="minorHAnsi"/>
          <w:sz w:val="22"/>
          <w:szCs w:val="22"/>
        </w:rPr>
      </w:pPr>
      <w:r w:rsidRPr="004A428C">
        <w:rPr>
          <w:rFonts w:asciiTheme="minorHAnsi" w:hAnsiTheme="minorHAnsi" w:cstheme="minorHAnsi"/>
          <w:sz w:val="22"/>
          <w:szCs w:val="22"/>
        </w:rPr>
        <w:t>předměty z drahých kovů [§ 2 zákona č. 539/1992 Sb., o puncovnictví a zkoušení drahých kovů (puncovní zákon)],</w:t>
      </w:r>
    </w:p>
    <w:p w14:paraId="6B33943D" w14:textId="77777777" w:rsidR="002B6983" w:rsidRPr="004A428C" w:rsidRDefault="002B6983" w:rsidP="002B6983">
      <w:pPr>
        <w:pStyle w:val="Odstavecseseznamem"/>
        <w:numPr>
          <w:ilvl w:val="0"/>
          <w:numId w:val="5"/>
        </w:numPr>
        <w:autoSpaceDN/>
        <w:spacing w:after="120"/>
        <w:ind w:left="664" w:hanging="284"/>
        <w:contextualSpacing w:val="0"/>
        <w:jc w:val="both"/>
        <w:textAlignment w:val="auto"/>
        <w:rPr>
          <w:rFonts w:asciiTheme="minorHAnsi" w:hAnsiTheme="minorHAnsi" w:cstheme="minorHAnsi"/>
          <w:sz w:val="22"/>
          <w:szCs w:val="22"/>
        </w:rPr>
      </w:pPr>
      <w:r w:rsidRPr="004A428C">
        <w:rPr>
          <w:rFonts w:asciiTheme="minorHAnsi" w:hAnsiTheme="minorHAnsi" w:cstheme="minorHAnsi"/>
          <w:sz w:val="22"/>
          <w:szCs w:val="22"/>
        </w:rPr>
        <w:t>kulturní předměty,</w:t>
      </w:r>
    </w:p>
    <w:p w14:paraId="34CAEA03" w14:textId="77777777" w:rsidR="002B6983" w:rsidRPr="004A428C" w:rsidRDefault="002B6983" w:rsidP="002B6983">
      <w:pPr>
        <w:pStyle w:val="Odstavecseseznamem"/>
        <w:numPr>
          <w:ilvl w:val="0"/>
          <w:numId w:val="5"/>
        </w:numPr>
        <w:autoSpaceDN/>
        <w:spacing w:after="120"/>
        <w:ind w:left="664" w:hanging="284"/>
        <w:contextualSpacing w:val="0"/>
        <w:jc w:val="both"/>
        <w:textAlignment w:val="auto"/>
        <w:rPr>
          <w:rFonts w:asciiTheme="minorHAnsi" w:hAnsiTheme="minorHAnsi" w:cstheme="minorHAnsi"/>
          <w:sz w:val="22"/>
          <w:szCs w:val="22"/>
        </w:rPr>
      </w:pPr>
      <w:r w:rsidRPr="004A428C">
        <w:rPr>
          <w:rFonts w:asciiTheme="minorHAnsi" w:hAnsiTheme="minorHAnsi" w:cstheme="minorHAnsi"/>
          <w:sz w:val="22"/>
          <w:szCs w:val="22"/>
        </w:rPr>
        <w:t xml:space="preserve">pěstitelské celky trvalých porostů </w:t>
      </w:r>
      <w:r w:rsidRPr="004A428C">
        <w:rPr>
          <w:rFonts w:asciiTheme="minorHAnsi" w:hAnsiTheme="minorHAnsi" w:cstheme="minorHAnsi"/>
          <w:iCs/>
          <w:sz w:val="22"/>
          <w:szCs w:val="22"/>
        </w:rPr>
        <w:t>(§ 14 odst. 5 vyhlášky č. 410/2009 Sb.),</w:t>
      </w:r>
    </w:p>
    <w:p w14:paraId="678046AF" w14:textId="77777777" w:rsidR="002B6983" w:rsidRPr="004A428C" w:rsidRDefault="002B6983" w:rsidP="002B6983">
      <w:pPr>
        <w:pStyle w:val="Odstavecseseznamem"/>
        <w:numPr>
          <w:ilvl w:val="0"/>
          <w:numId w:val="5"/>
        </w:numPr>
        <w:autoSpaceDN/>
        <w:spacing w:after="120"/>
        <w:ind w:left="664" w:hanging="284"/>
        <w:contextualSpacing w:val="0"/>
        <w:jc w:val="both"/>
        <w:textAlignment w:val="auto"/>
        <w:rPr>
          <w:rFonts w:asciiTheme="minorHAnsi" w:hAnsiTheme="minorHAnsi" w:cstheme="minorHAnsi"/>
          <w:sz w:val="22"/>
          <w:szCs w:val="22"/>
        </w:rPr>
      </w:pPr>
      <w:r w:rsidRPr="004A428C">
        <w:rPr>
          <w:rFonts w:asciiTheme="minorHAnsi" w:hAnsiTheme="minorHAnsi" w:cstheme="minorHAnsi"/>
          <w:sz w:val="22"/>
          <w:szCs w:val="22"/>
        </w:rPr>
        <w:t>zvířata [§ 14 odst. 7 písm. a) vyhlášky č. 410/2009 Sb.],</w:t>
      </w:r>
    </w:p>
    <w:p w14:paraId="3F24A05C" w14:textId="09F7EB90" w:rsidR="002B6983" w:rsidRPr="004A428C" w:rsidRDefault="004A428C" w:rsidP="004A428C">
      <w:pPr>
        <w:spacing w:after="120"/>
        <w:jc w:val="both"/>
        <w:rPr>
          <w:rFonts w:cstheme="minorHAnsi"/>
        </w:rPr>
      </w:pPr>
      <w:r w:rsidRPr="004A428C">
        <w:rPr>
          <w:rFonts w:cstheme="minorHAnsi"/>
          <w:b/>
          <w:bCs/>
        </w:rPr>
        <w:t xml:space="preserve">Pojem č. 3: </w:t>
      </w:r>
      <w:r w:rsidR="002B6983" w:rsidRPr="004A428C">
        <w:rPr>
          <w:rFonts w:cstheme="minorHAnsi"/>
          <w:b/>
          <w:bCs/>
        </w:rPr>
        <w:t>dlouhodobými nehmotnými věcmi</w:t>
      </w:r>
      <w:r w:rsidR="002B6983" w:rsidRPr="004A428C">
        <w:rPr>
          <w:rFonts w:cstheme="minorHAnsi"/>
        </w:rPr>
        <w:t xml:space="preserve"> (dlouhodobým nehmotným majetkem) rozumějí nehmotné věci, jejichž doba použitelnosti je delší než jeden rok a částka, která se vydává za jejich pořízení, převyšuje částku 60 000 Kč, </w:t>
      </w:r>
    </w:p>
    <w:p w14:paraId="64B83FF1" w14:textId="1E1E91D7" w:rsidR="002B6983" w:rsidRPr="004A428C" w:rsidRDefault="002B6983" w:rsidP="004A428C">
      <w:pPr>
        <w:spacing w:after="120"/>
        <w:jc w:val="both"/>
        <w:rPr>
          <w:rFonts w:ascii="Times New Roman" w:hAnsi="Times New Roman" w:cs="Times New Roman"/>
          <w:i/>
          <w:iCs/>
          <w:sz w:val="24"/>
          <w:szCs w:val="24"/>
        </w:rPr>
      </w:pPr>
      <w:r w:rsidRPr="004A428C">
        <w:rPr>
          <w:rFonts w:ascii="Times New Roman" w:hAnsi="Times New Roman" w:cs="Times New Roman"/>
          <w:b/>
          <w:bCs/>
          <w:i/>
          <w:iCs/>
          <w:sz w:val="24"/>
          <w:szCs w:val="24"/>
        </w:rPr>
        <w:t xml:space="preserve">Komentář: </w:t>
      </w:r>
      <w:r w:rsidRPr="004A428C">
        <w:rPr>
          <w:rFonts w:ascii="Times New Roman" w:hAnsi="Times New Roman" w:cs="Times New Roman"/>
          <w:i/>
          <w:iCs/>
          <w:sz w:val="24"/>
          <w:szCs w:val="24"/>
        </w:rPr>
        <w:t>Takto vymezen</w:t>
      </w:r>
      <w:r w:rsidR="00F67890" w:rsidRPr="004A428C">
        <w:rPr>
          <w:rFonts w:ascii="Times New Roman" w:hAnsi="Times New Roman" w:cs="Times New Roman"/>
          <w:i/>
          <w:iCs/>
          <w:sz w:val="24"/>
          <w:szCs w:val="24"/>
        </w:rPr>
        <w:t>é</w:t>
      </w:r>
      <w:r w:rsidRPr="004A428C">
        <w:rPr>
          <w:rFonts w:ascii="Times New Roman" w:hAnsi="Times New Roman" w:cs="Times New Roman"/>
          <w:i/>
          <w:iCs/>
          <w:sz w:val="24"/>
          <w:szCs w:val="24"/>
        </w:rPr>
        <w:t xml:space="preserve"> poj</w:t>
      </w:r>
      <w:r w:rsidR="00F67890" w:rsidRPr="004A428C">
        <w:rPr>
          <w:rFonts w:ascii="Times New Roman" w:hAnsi="Times New Roman" w:cs="Times New Roman"/>
          <w:i/>
          <w:iCs/>
          <w:sz w:val="24"/>
          <w:szCs w:val="24"/>
        </w:rPr>
        <w:t>my</w:t>
      </w:r>
      <w:r w:rsidRPr="004A428C">
        <w:rPr>
          <w:rFonts w:ascii="Times New Roman" w:hAnsi="Times New Roman" w:cs="Times New Roman"/>
          <w:i/>
          <w:iCs/>
          <w:sz w:val="24"/>
          <w:szCs w:val="24"/>
        </w:rPr>
        <w:t xml:space="preserve"> dlouhodobého majetku j</w:t>
      </w:r>
      <w:r w:rsidR="00F67890" w:rsidRPr="004A428C">
        <w:rPr>
          <w:rFonts w:ascii="Times New Roman" w:hAnsi="Times New Roman" w:cs="Times New Roman"/>
          <w:i/>
          <w:iCs/>
          <w:sz w:val="24"/>
          <w:szCs w:val="24"/>
        </w:rPr>
        <w:t>sou</w:t>
      </w:r>
      <w:r w:rsidRPr="004A428C">
        <w:rPr>
          <w:rFonts w:ascii="Times New Roman" w:hAnsi="Times New Roman" w:cs="Times New Roman"/>
          <w:i/>
          <w:iCs/>
          <w:sz w:val="24"/>
          <w:szCs w:val="24"/>
        </w:rPr>
        <w:t xml:space="preserve"> velmi problematick</w:t>
      </w:r>
      <w:r w:rsidR="00F67890" w:rsidRPr="004A428C">
        <w:rPr>
          <w:rFonts w:ascii="Times New Roman" w:hAnsi="Times New Roman" w:cs="Times New Roman"/>
          <w:i/>
          <w:iCs/>
          <w:sz w:val="24"/>
          <w:szCs w:val="24"/>
        </w:rPr>
        <w:t>é</w:t>
      </w:r>
      <w:r w:rsidRPr="004A428C">
        <w:rPr>
          <w:rFonts w:ascii="Times New Roman" w:hAnsi="Times New Roman" w:cs="Times New Roman"/>
          <w:i/>
          <w:iCs/>
          <w:sz w:val="24"/>
          <w:szCs w:val="24"/>
        </w:rPr>
        <w:t>, je to určitý krok nesprávným směrem s odchýlením se od vymezení dlouhodobého majetku v účetních předpisech pro ÚSC. Pro potřeby třídění rozpočtovou skladbou nelze z výše uvedených definic pro jednotlivé dlouhodobé majetky vycházet (především u položek). Výše uvedené definice jsou i v rozporu se samotným pokynem</w:t>
      </w:r>
      <w:r w:rsidR="00977BD6" w:rsidRPr="004A428C">
        <w:rPr>
          <w:rFonts w:ascii="Times New Roman" w:hAnsi="Times New Roman" w:cs="Times New Roman"/>
          <w:i/>
          <w:iCs/>
          <w:sz w:val="24"/>
          <w:szCs w:val="24"/>
        </w:rPr>
        <w:t xml:space="preserve">. </w:t>
      </w:r>
      <w:r w:rsidR="00977BD6" w:rsidRPr="004A428C">
        <w:rPr>
          <w:rFonts w:ascii="Times New Roman" w:hAnsi="Times New Roman" w:cs="Times New Roman"/>
          <w:b/>
          <w:bCs/>
          <w:i/>
          <w:iCs/>
          <w:sz w:val="24"/>
          <w:szCs w:val="24"/>
        </w:rPr>
        <w:t>Ve výsledku se vlastně nejedná o pojmy pro účely rozpočtové skladby,</w:t>
      </w:r>
      <w:r w:rsidR="00977BD6" w:rsidRPr="004A428C">
        <w:rPr>
          <w:rFonts w:ascii="Times New Roman" w:hAnsi="Times New Roman" w:cs="Times New Roman"/>
          <w:i/>
          <w:iCs/>
          <w:sz w:val="24"/>
          <w:szCs w:val="24"/>
        </w:rPr>
        <w:t xml:space="preserve"> protože</w:t>
      </w:r>
      <w:r w:rsidR="0056792E" w:rsidRPr="004A428C">
        <w:rPr>
          <w:rFonts w:ascii="Times New Roman" w:hAnsi="Times New Roman" w:cs="Times New Roman"/>
          <w:i/>
          <w:iCs/>
          <w:sz w:val="24"/>
          <w:szCs w:val="24"/>
        </w:rPr>
        <w:t xml:space="preserve"> ani vyhláška, ani pokyn v náplních v třídění</w:t>
      </w:r>
      <w:r w:rsidR="00977BD6" w:rsidRPr="004A428C">
        <w:rPr>
          <w:rFonts w:ascii="Times New Roman" w:hAnsi="Times New Roman" w:cs="Times New Roman"/>
          <w:i/>
          <w:iCs/>
          <w:sz w:val="24"/>
          <w:szCs w:val="24"/>
        </w:rPr>
        <w:t xml:space="preserve"> např. u položek z těchto </w:t>
      </w:r>
      <w:r w:rsidR="0056792E" w:rsidRPr="004A428C">
        <w:rPr>
          <w:rFonts w:ascii="Times New Roman" w:hAnsi="Times New Roman" w:cs="Times New Roman"/>
          <w:i/>
          <w:iCs/>
          <w:sz w:val="24"/>
          <w:szCs w:val="24"/>
        </w:rPr>
        <w:t xml:space="preserve">definic </w:t>
      </w:r>
      <w:r w:rsidR="00977BD6" w:rsidRPr="004A428C">
        <w:rPr>
          <w:rFonts w:ascii="Times New Roman" w:hAnsi="Times New Roman" w:cs="Times New Roman"/>
          <w:i/>
          <w:iCs/>
          <w:sz w:val="24"/>
          <w:szCs w:val="24"/>
        </w:rPr>
        <w:t>nevycház</w:t>
      </w:r>
      <w:r w:rsidR="0056792E" w:rsidRPr="004A428C">
        <w:rPr>
          <w:rFonts w:ascii="Times New Roman" w:hAnsi="Times New Roman" w:cs="Times New Roman"/>
          <w:i/>
          <w:iCs/>
          <w:sz w:val="24"/>
          <w:szCs w:val="24"/>
        </w:rPr>
        <w:t>í! D</w:t>
      </w:r>
      <w:r w:rsidRPr="004A428C">
        <w:rPr>
          <w:rFonts w:ascii="Times New Roman" w:hAnsi="Times New Roman" w:cs="Times New Roman"/>
          <w:i/>
          <w:iCs/>
          <w:sz w:val="24"/>
          <w:szCs w:val="24"/>
        </w:rPr>
        <w:t xml:space="preserve">oporučujeme se držet např. u volby položek </w:t>
      </w:r>
      <w:r w:rsidR="0056792E" w:rsidRPr="004A428C">
        <w:rPr>
          <w:rFonts w:ascii="Times New Roman" w:hAnsi="Times New Roman" w:cs="Times New Roman"/>
          <w:i/>
          <w:iCs/>
          <w:sz w:val="24"/>
          <w:szCs w:val="24"/>
        </w:rPr>
        <w:t xml:space="preserve">ve vztahu k majetku </w:t>
      </w:r>
      <w:r w:rsidRPr="004A428C">
        <w:rPr>
          <w:rFonts w:ascii="Times New Roman" w:hAnsi="Times New Roman" w:cs="Times New Roman"/>
          <w:i/>
          <w:iCs/>
          <w:sz w:val="24"/>
          <w:szCs w:val="24"/>
        </w:rPr>
        <w:t>v logických souvislostech s účetnictvím, jinak dojde k poškození vypovídací schopnosti výkazu FIN 2-12 M.  (Pozn. Není možné např. třídit všechny stavby, které jsou nedílnou součástí pozemku na pozemcích a na stavbách jen inženýrské sítě – to by bylo informačně velmi nesprávné, pravděpodobně to ani záměr předkladatelů nebyl</w:t>
      </w:r>
      <w:r w:rsidR="0056792E" w:rsidRPr="004A428C">
        <w:rPr>
          <w:rFonts w:ascii="Times New Roman" w:hAnsi="Times New Roman" w:cs="Times New Roman"/>
          <w:i/>
          <w:iCs/>
          <w:sz w:val="24"/>
          <w:szCs w:val="24"/>
        </w:rPr>
        <w:t xml:space="preserve"> </w:t>
      </w:r>
      <w:r w:rsidR="00935E94">
        <w:rPr>
          <w:rFonts w:ascii="Times New Roman" w:hAnsi="Times New Roman" w:cs="Times New Roman"/>
          <w:i/>
          <w:iCs/>
          <w:sz w:val="24"/>
          <w:szCs w:val="24"/>
        </w:rPr>
        <w:t>-</w:t>
      </w:r>
      <w:r w:rsidR="0056792E" w:rsidRPr="004A428C">
        <w:rPr>
          <w:rFonts w:ascii="Times New Roman" w:hAnsi="Times New Roman" w:cs="Times New Roman"/>
          <w:i/>
          <w:iCs/>
          <w:sz w:val="24"/>
          <w:szCs w:val="24"/>
        </w:rPr>
        <w:t>např. u položky 6121 je výslovně uvedeno, že se použije i v případě pořízení stavby s pozem</w:t>
      </w:r>
      <w:r w:rsidR="00F67890" w:rsidRPr="004A428C">
        <w:rPr>
          <w:rFonts w:ascii="Times New Roman" w:hAnsi="Times New Roman" w:cs="Times New Roman"/>
          <w:i/>
          <w:iCs/>
          <w:sz w:val="24"/>
          <w:szCs w:val="24"/>
        </w:rPr>
        <w:t>kem</w:t>
      </w:r>
      <w:r w:rsidRPr="004A428C">
        <w:rPr>
          <w:rFonts w:ascii="Times New Roman" w:hAnsi="Times New Roman" w:cs="Times New Roman"/>
          <w:i/>
          <w:iCs/>
          <w:sz w:val="24"/>
          <w:szCs w:val="24"/>
        </w:rPr>
        <w:t xml:space="preserve">, je jen </w:t>
      </w:r>
      <w:r w:rsidR="004A428C" w:rsidRPr="004A428C">
        <w:rPr>
          <w:rFonts w:ascii="Times New Roman" w:hAnsi="Times New Roman" w:cs="Times New Roman"/>
          <w:i/>
          <w:iCs/>
          <w:sz w:val="24"/>
          <w:szCs w:val="24"/>
        </w:rPr>
        <w:t xml:space="preserve">zde v pokynu </w:t>
      </w:r>
      <w:r w:rsidRPr="004A428C">
        <w:rPr>
          <w:rFonts w:ascii="Times New Roman" w:hAnsi="Times New Roman" w:cs="Times New Roman"/>
          <w:i/>
          <w:iCs/>
          <w:sz w:val="24"/>
          <w:szCs w:val="24"/>
        </w:rPr>
        <w:t xml:space="preserve">odkazováno na předpisy nevhodné pro účely třídění). </w:t>
      </w:r>
    </w:p>
    <w:p w14:paraId="234607E9" w14:textId="0351A28B" w:rsidR="0056792E" w:rsidRPr="004A428C" w:rsidRDefault="0056792E" w:rsidP="004A428C">
      <w:pPr>
        <w:spacing w:after="120"/>
        <w:jc w:val="both"/>
        <w:rPr>
          <w:rFonts w:ascii="Times New Roman" w:hAnsi="Times New Roman" w:cs="Times New Roman"/>
          <w:i/>
          <w:iCs/>
          <w:sz w:val="24"/>
          <w:szCs w:val="24"/>
        </w:rPr>
      </w:pPr>
      <w:r w:rsidRPr="004A428C">
        <w:rPr>
          <w:rFonts w:ascii="Times New Roman" w:hAnsi="Times New Roman" w:cs="Times New Roman"/>
          <w:i/>
          <w:iCs/>
          <w:sz w:val="24"/>
          <w:szCs w:val="24"/>
        </w:rPr>
        <w:t>Výše uvedené dokládáme citací z nové vyhlášky a z</w:t>
      </w:r>
      <w:r w:rsidR="00F67890" w:rsidRPr="004A428C">
        <w:rPr>
          <w:rFonts w:ascii="Times New Roman" w:hAnsi="Times New Roman" w:cs="Times New Roman"/>
          <w:i/>
          <w:iCs/>
          <w:sz w:val="24"/>
          <w:szCs w:val="24"/>
        </w:rPr>
        <w:t> </w:t>
      </w:r>
      <w:r w:rsidRPr="004A428C">
        <w:rPr>
          <w:rFonts w:ascii="Times New Roman" w:hAnsi="Times New Roman" w:cs="Times New Roman"/>
          <w:i/>
          <w:iCs/>
          <w:sz w:val="24"/>
          <w:szCs w:val="24"/>
        </w:rPr>
        <w:t>pokynu</w:t>
      </w:r>
      <w:r w:rsidR="00F67890" w:rsidRPr="004A428C">
        <w:rPr>
          <w:rFonts w:ascii="Times New Roman" w:hAnsi="Times New Roman" w:cs="Times New Roman"/>
          <w:i/>
          <w:iCs/>
          <w:sz w:val="24"/>
          <w:szCs w:val="24"/>
        </w:rPr>
        <w:t>:</w:t>
      </w:r>
      <w:r w:rsidRPr="004A428C">
        <w:rPr>
          <w:rFonts w:ascii="Times New Roman" w:hAnsi="Times New Roman" w:cs="Times New Roman"/>
          <w:i/>
          <w:iCs/>
          <w:sz w:val="24"/>
          <w:szCs w:val="24"/>
        </w:rPr>
        <w:t xml:space="preserve"> </w:t>
      </w:r>
    </w:p>
    <w:p w14:paraId="0B79F691" w14:textId="1D919986" w:rsidR="002B6983" w:rsidRPr="004A428C" w:rsidRDefault="0056792E" w:rsidP="004A428C">
      <w:pPr>
        <w:spacing w:after="120"/>
        <w:jc w:val="both"/>
        <w:rPr>
          <w:rFonts w:ascii="Times New Roman" w:hAnsi="Times New Roman" w:cs="Times New Roman"/>
          <w:i/>
          <w:iCs/>
        </w:rPr>
      </w:pPr>
      <w:r w:rsidRPr="004A428C">
        <w:rPr>
          <w:rFonts w:ascii="Times New Roman" w:hAnsi="Times New Roman" w:cs="Times New Roman"/>
          <w:i/>
          <w:iCs/>
          <w:sz w:val="24"/>
          <w:szCs w:val="24"/>
        </w:rPr>
        <w:t>V</w:t>
      </w:r>
      <w:r w:rsidR="002B6983" w:rsidRPr="004A428C">
        <w:rPr>
          <w:rFonts w:ascii="Times New Roman" w:hAnsi="Times New Roman" w:cs="Times New Roman"/>
          <w:i/>
          <w:iCs/>
          <w:sz w:val="24"/>
          <w:szCs w:val="24"/>
        </w:rPr>
        <w:t>yhláš</w:t>
      </w:r>
      <w:r w:rsidRPr="004A428C">
        <w:rPr>
          <w:rFonts w:ascii="Times New Roman" w:hAnsi="Times New Roman" w:cs="Times New Roman"/>
          <w:i/>
          <w:iCs/>
          <w:sz w:val="24"/>
          <w:szCs w:val="24"/>
        </w:rPr>
        <w:t>ka</w:t>
      </w:r>
      <w:r w:rsidR="002B6983" w:rsidRPr="004A428C">
        <w:rPr>
          <w:rFonts w:ascii="Times New Roman" w:hAnsi="Times New Roman" w:cs="Times New Roman"/>
          <w:i/>
          <w:iCs/>
        </w:rPr>
        <w:t xml:space="preserve"> č. 412/2021 Sb., o rozpočtové skladbě text k položce 6121 Stavby: </w:t>
      </w:r>
    </w:p>
    <w:p w14:paraId="60F4CF5F" w14:textId="77777777" w:rsidR="002B6983" w:rsidRPr="004A428C" w:rsidRDefault="002B6983" w:rsidP="004A428C">
      <w:pPr>
        <w:spacing w:after="120"/>
        <w:jc w:val="both"/>
        <w:rPr>
          <w:rFonts w:ascii="Arial" w:hAnsi="Arial" w:cs="Arial"/>
          <w:sz w:val="20"/>
          <w:szCs w:val="20"/>
          <w:highlight w:val="lightGray"/>
        </w:rPr>
      </w:pPr>
      <w:r w:rsidRPr="004A428C">
        <w:rPr>
          <w:rFonts w:ascii="Arial" w:hAnsi="Arial" w:cs="Arial"/>
          <w:i/>
          <w:iCs/>
          <w:sz w:val="20"/>
          <w:szCs w:val="20"/>
          <w:highlight w:val="lightGray"/>
        </w:rPr>
        <w:t>„</w:t>
      </w:r>
      <w:r w:rsidRPr="004A428C">
        <w:rPr>
          <w:rFonts w:ascii="Arial" w:hAnsi="Arial" w:cs="Arial"/>
          <w:sz w:val="20"/>
          <w:szCs w:val="20"/>
          <w:highlight w:val="lightGray"/>
        </w:rPr>
        <w:t>Poznámka:</w:t>
      </w:r>
    </w:p>
    <w:p w14:paraId="2AC46048" w14:textId="77777777" w:rsidR="002B6983" w:rsidRPr="004A428C" w:rsidRDefault="002B6983" w:rsidP="004A428C">
      <w:pPr>
        <w:spacing w:after="120"/>
        <w:jc w:val="both"/>
        <w:rPr>
          <w:rFonts w:ascii="Arial" w:hAnsi="Arial" w:cs="Arial"/>
          <w:sz w:val="20"/>
          <w:szCs w:val="20"/>
        </w:rPr>
      </w:pPr>
      <w:r w:rsidRPr="004A428C">
        <w:rPr>
          <w:rFonts w:ascii="Arial" w:hAnsi="Arial" w:cs="Arial"/>
          <w:sz w:val="20"/>
          <w:szCs w:val="20"/>
          <w:highlight w:val="lightGray"/>
        </w:rPr>
        <w:t>Výdaje na pořízení budov, jiných staveb a dalších věcí a hodnot majících povahu dlouhodobého hmotného majetku, které mezi stavby zařazuje stavební zákon.“</w:t>
      </w:r>
      <w:r w:rsidRPr="004A428C">
        <w:rPr>
          <w:rFonts w:ascii="Arial" w:hAnsi="Arial" w:cs="Arial"/>
          <w:sz w:val="20"/>
          <w:szCs w:val="20"/>
        </w:rPr>
        <w:t xml:space="preserve"> </w:t>
      </w:r>
    </w:p>
    <w:p w14:paraId="4AAE6BCB" w14:textId="1BA8E0FF" w:rsidR="002B6983" w:rsidRPr="004A428C" w:rsidRDefault="0056792E" w:rsidP="004A428C">
      <w:pPr>
        <w:spacing w:after="120"/>
        <w:jc w:val="both"/>
        <w:rPr>
          <w:rFonts w:ascii="Times New Roman" w:hAnsi="Times New Roman" w:cs="Times New Roman"/>
          <w:i/>
          <w:iCs/>
          <w:sz w:val="24"/>
          <w:szCs w:val="24"/>
        </w:rPr>
      </w:pPr>
      <w:r w:rsidRPr="004A428C">
        <w:rPr>
          <w:rFonts w:ascii="Times New Roman" w:hAnsi="Times New Roman" w:cs="Times New Roman"/>
          <w:i/>
          <w:iCs/>
          <w:sz w:val="24"/>
          <w:szCs w:val="24"/>
        </w:rPr>
        <w:t>T</w:t>
      </w:r>
      <w:r w:rsidR="002B6983" w:rsidRPr="004A428C">
        <w:rPr>
          <w:rFonts w:ascii="Times New Roman" w:hAnsi="Times New Roman" w:cs="Times New Roman"/>
          <w:i/>
          <w:iCs/>
          <w:sz w:val="24"/>
          <w:szCs w:val="24"/>
        </w:rPr>
        <w:t xml:space="preserve">ext pokynu k položce 6121: </w:t>
      </w:r>
    </w:p>
    <w:p w14:paraId="206A2915" w14:textId="77777777" w:rsidR="002B6983" w:rsidRPr="004A428C" w:rsidRDefault="002B6983" w:rsidP="004A428C">
      <w:pPr>
        <w:spacing w:after="120"/>
        <w:jc w:val="both"/>
        <w:rPr>
          <w:rFonts w:ascii="Arial" w:hAnsi="Arial" w:cs="Arial"/>
          <w:sz w:val="20"/>
          <w:szCs w:val="20"/>
        </w:rPr>
      </w:pPr>
      <w:r w:rsidRPr="004A428C">
        <w:rPr>
          <w:rFonts w:ascii="Arial" w:hAnsi="Arial" w:cs="Arial"/>
          <w:sz w:val="20"/>
          <w:szCs w:val="20"/>
        </w:rPr>
        <w:lastRenderedPageBreak/>
        <w:t xml:space="preserve">(2) Na položku </w:t>
      </w:r>
      <w:r w:rsidRPr="004A428C">
        <w:rPr>
          <w:rFonts w:ascii="Arial" w:hAnsi="Arial" w:cs="Arial"/>
          <w:sz w:val="20"/>
          <w:szCs w:val="20"/>
          <w:u w:val="single"/>
        </w:rPr>
        <w:t>6121 patří i výdaje vynakládané od 1. 1. 2014 na pořízení staveb s pozemky</w:t>
      </w:r>
      <w:r w:rsidRPr="004A428C">
        <w:rPr>
          <w:rFonts w:ascii="Arial" w:hAnsi="Arial" w:cs="Arial"/>
          <w:sz w:val="20"/>
          <w:szCs w:val="20"/>
        </w:rPr>
        <w:t>, na nichž stojí (staveb, které jsou podle § 506 zákona č. 89/2012 Sb., občanský zákoník, součástí pozemku), nelze-li výdaj na pořízení stavby od výdaje na pořízení pozemku oddělit.</w:t>
      </w:r>
    </w:p>
    <w:p w14:paraId="3898D616" w14:textId="77777777" w:rsidR="002B6983" w:rsidRPr="004A428C" w:rsidRDefault="002B6983" w:rsidP="004A428C">
      <w:pPr>
        <w:spacing w:after="120"/>
        <w:jc w:val="both"/>
        <w:rPr>
          <w:rFonts w:ascii="Times New Roman" w:hAnsi="Times New Roman" w:cs="Times New Roman"/>
          <w:b/>
          <w:bCs/>
          <w:i/>
          <w:iCs/>
          <w:sz w:val="24"/>
          <w:szCs w:val="24"/>
        </w:rPr>
      </w:pPr>
      <w:r w:rsidRPr="004A428C">
        <w:rPr>
          <w:rFonts w:ascii="Times New Roman" w:hAnsi="Times New Roman" w:cs="Times New Roman"/>
          <w:b/>
          <w:bCs/>
          <w:i/>
          <w:iCs/>
          <w:sz w:val="24"/>
          <w:szCs w:val="24"/>
        </w:rPr>
        <w:t xml:space="preserve">Dílčí závěr: Pokyn MF není závazným právním předpisem, je zbytečné sáhodlouze pitvat „každé slovo“ uvedených pojmů, které jsou velmi problematické, s jednotlivými obsahovými náplněmi jednotek třídění často v rozporu. Při třídění rozpočtovou skladbou u dlouhodobého majetku se pokusíme zachovávat logické vazby s účetními předpisy a řídit se zněním vyhlášky o rozpočtové skladbě (závazným předpisem) především dle názvů jednotek třídění. </w:t>
      </w:r>
    </w:p>
    <w:p w14:paraId="5A59EEB2" w14:textId="77777777" w:rsidR="002B6983" w:rsidRPr="00935E94" w:rsidRDefault="002B6983" w:rsidP="004A428C">
      <w:pPr>
        <w:spacing w:after="120"/>
        <w:jc w:val="both"/>
        <w:rPr>
          <w:rFonts w:ascii="Times New Roman" w:hAnsi="Times New Roman" w:cs="Times New Roman"/>
          <w:i/>
          <w:iCs/>
          <w:sz w:val="24"/>
          <w:szCs w:val="24"/>
        </w:rPr>
      </w:pPr>
      <w:r w:rsidRPr="00935E94">
        <w:rPr>
          <w:rFonts w:ascii="Times New Roman" w:hAnsi="Times New Roman" w:cs="Times New Roman"/>
          <w:i/>
          <w:iCs/>
          <w:sz w:val="24"/>
          <w:szCs w:val="24"/>
        </w:rPr>
        <w:t xml:space="preserve"> Dalším již mnohem menším problémem je i definice dlouhodobých nehmotný věcí, kde by dlouhodobým majetkem měli být jen věci s vyšší pořizovací cenou, než je 60 tis. Kč. Ostatní dlouhodobý nehmotný majetek dle účetních předpisů je však v režimu dlouhodobého majetku bez ohledu na výši pořizovací ceny (účetní jednotky si však často pro evidenci „Ostatního dlouhodobého majetku“ na účtu 019 stanovují vnitřními předpisy významnost od 60 tis. Kč, pak bychom nebyli v rozporu s definicí). </w:t>
      </w:r>
    </w:p>
    <w:p w14:paraId="1ECF25DA" w14:textId="0BEBD37F" w:rsidR="00A24CC7" w:rsidRPr="00935E94" w:rsidRDefault="00A24CC7" w:rsidP="00F7587C">
      <w:pPr>
        <w:rPr>
          <w:rFonts w:ascii="Times New Roman" w:hAnsi="Times New Roman" w:cs="Times New Roman"/>
          <w:sz w:val="24"/>
          <w:szCs w:val="24"/>
        </w:rPr>
      </w:pPr>
    </w:p>
    <w:p w14:paraId="234D80F7" w14:textId="1811B152" w:rsidR="00780F9D" w:rsidRPr="00891D85" w:rsidRDefault="0056792E" w:rsidP="00F00CFC">
      <w:pPr>
        <w:pStyle w:val="Nadpis3"/>
      </w:pPr>
      <w:bookmarkStart w:id="19" w:name="_Toc94609618"/>
      <w:r w:rsidRPr="00891D85">
        <w:t>Pojem drobný dlouhodobý majetek</w:t>
      </w:r>
      <w:bookmarkEnd w:id="19"/>
    </w:p>
    <w:p w14:paraId="4C0A88CD" w14:textId="583357CB" w:rsidR="002B6983" w:rsidRPr="00C06828" w:rsidRDefault="00C06828" w:rsidP="00C06828">
      <w:pPr>
        <w:spacing w:after="120"/>
        <w:jc w:val="both"/>
      </w:pPr>
      <w:r w:rsidRPr="00C06828">
        <w:rPr>
          <w:b/>
          <w:bCs/>
        </w:rPr>
        <w:t xml:space="preserve">Pojem č. 11: </w:t>
      </w:r>
      <w:r w:rsidR="002B6983" w:rsidRPr="00C06828">
        <w:rPr>
          <w:b/>
          <w:bCs/>
        </w:rPr>
        <w:t>drobným dlouhodobým hmotným majetkem</w:t>
      </w:r>
      <w:r w:rsidR="002B6983" w:rsidRPr="00C06828">
        <w:t xml:space="preserve"> rozumějí hmotné nezastupitelné nezuživatelné věci (§ 499 a 500 občanského zákoníku) nebo soubory takových věcí, které nejsou dlouhodobými hmotnými věcmi, které jsou charakterizovány samostatným technicko-ekonomickým určením, jejichž doba použitelnosti je delší než rok a za jejichž pořízení se vydala částka, která činí nejméně 3 000 Kč nebo méně, stanovila-li pořizující organizace nižší hranici, a nejvíce 40 tisíc Kč; ze sériově vyráběných věcí a jiných věcí, které od sebe nelze běžným způsobem rozeznat, se za nezastupitelné věci považují ty, které mají výrobní číslo nebo jinou identifikaci od výrobce, dovozce, prodejce nebo veřejného orgánu,</w:t>
      </w:r>
    </w:p>
    <w:p w14:paraId="4B2F02B4" w14:textId="77777777" w:rsidR="002B6983" w:rsidRPr="00C06828" w:rsidRDefault="002B6983" w:rsidP="00C06828">
      <w:pPr>
        <w:spacing w:after="120"/>
        <w:jc w:val="both"/>
        <w:rPr>
          <w:rFonts w:ascii="Times New Roman" w:hAnsi="Times New Roman" w:cs="Times New Roman"/>
          <w:sz w:val="24"/>
          <w:szCs w:val="24"/>
          <w:u w:val="single"/>
        </w:rPr>
      </w:pPr>
      <w:r w:rsidRPr="00C06828">
        <w:rPr>
          <w:rFonts w:ascii="Times New Roman" w:hAnsi="Times New Roman" w:cs="Times New Roman"/>
          <w:b/>
          <w:bCs/>
          <w:i/>
          <w:iCs/>
          <w:sz w:val="24"/>
          <w:szCs w:val="24"/>
        </w:rPr>
        <w:t>Komentář:</w:t>
      </w:r>
      <w:r w:rsidRPr="00C06828">
        <w:rPr>
          <w:rFonts w:ascii="Times New Roman" w:hAnsi="Times New Roman" w:cs="Times New Roman"/>
          <w:i/>
          <w:iCs/>
          <w:sz w:val="24"/>
          <w:szCs w:val="24"/>
        </w:rPr>
        <w:t xml:space="preserve"> Na tento bod přímo navazuje obsahová náplň položky 5137:</w:t>
      </w:r>
      <w:r w:rsidRPr="00C06828">
        <w:rPr>
          <w:rFonts w:ascii="Times New Roman" w:hAnsi="Times New Roman" w:cs="Times New Roman"/>
          <w:sz w:val="24"/>
          <w:szCs w:val="24"/>
          <w:u w:val="single"/>
        </w:rPr>
        <w:t xml:space="preserve"> </w:t>
      </w:r>
    </w:p>
    <w:p w14:paraId="1D027971" w14:textId="77777777" w:rsidR="002B6983" w:rsidRPr="00C06828" w:rsidRDefault="002B6983" w:rsidP="00C06828">
      <w:pPr>
        <w:spacing w:after="120"/>
        <w:jc w:val="both"/>
        <w:rPr>
          <w:rFonts w:ascii="Arial" w:hAnsi="Arial" w:cs="Arial"/>
          <w:color w:val="000000"/>
          <w:sz w:val="20"/>
          <w:szCs w:val="20"/>
        </w:rPr>
      </w:pPr>
      <w:r w:rsidRPr="00C06828">
        <w:rPr>
          <w:rFonts w:ascii="Arial" w:hAnsi="Arial" w:cs="Arial"/>
          <w:color w:val="000000"/>
          <w:sz w:val="20"/>
          <w:szCs w:val="20"/>
          <w:highlight w:val="lightGray"/>
          <w:u w:val="single"/>
        </w:rPr>
        <w:t>Položka 5137</w:t>
      </w:r>
      <w:r w:rsidRPr="00C06828">
        <w:rPr>
          <w:rFonts w:ascii="Arial" w:hAnsi="Arial" w:cs="Arial"/>
          <w:color w:val="000000"/>
          <w:sz w:val="20"/>
          <w:szCs w:val="20"/>
          <w:highlight w:val="lightGray"/>
        </w:rPr>
        <w:t xml:space="preserve"> – Drobný dlouhodobý hmotný majetek</w:t>
      </w:r>
    </w:p>
    <w:p w14:paraId="02F9B5E0" w14:textId="77777777" w:rsidR="002B6983" w:rsidRPr="00C06828" w:rsidRDefault="002B6983" w:rsidP="00C06828">
      <w:pPr>
        <w:spacing w:after="120"/>
        <w:jc w:val="both"/>
        <w:rPr>
          <w:b/>
          <w:iCs/>
        </w:rPr>
      </w:pPr>
      <w:r w:rsidRPr="00C06828">
        <w:rPr>
          <w:iCs/>
        </w:rPr>
        <w:t>Výdaje na dodavatelské pořízení drobného dlouhodobého hmotného majetku (bod 11 ustanovení „Vymezení některých pojmů“).</w:t>
      </w:r>
    </w:p>
    <w:p w14:paraId="40C31357" w14:textId="77777777" w:rsidR="002B6983" w:rsidRPr="00C06828" w:rsidRDefault="002B6983" w:rsidP="00C06828">
      <w:pPr>
        <w:spacing w:after="120"/>
        <w:jc w:val="both"/>
        <w:rPr>
          <w:rFonts w:ascii="Times New Roman" w:hAnsi="Times New Roman" w:cs="Times New Roman"/>
          <w:i/>
          <w:iCs/>
          <w:sz w:val="24"/>
          <w:szCs w:val="24"/>
        </w:rPr>
      </w:pPr>
      <w:r w:rsidRPr="00C06828">
        <w:rPr>
          <w:rFonts w:ascii="Times New Roman" w:hAnsi="Times New Roman" w:cs="Times New Roman"/>
          <w:i/>
          <w:iCs/>
          <w:sz w:val="24"/>
          <w:szCs w:val="24"/>
        </w:rPr>
        <w:t xml:space="preserve">Jak definice drobného dlouhodobého hmotného (DDHM) majetku zní, vyvolává dojem, že se týká jen DDHM evidovaným na účtu 028, že dochází ke změně oproti minulému obsahovému vymezení položky 5137 vyhláškou č. 323/2002 Sb., kde se na položku 5137 třídil i „Jiný drobný dlouhodobý hmotný majetek“ evidovaný na účtu 902. Jen upozorňuji, že tomu tak „pravděpodobně“ není. V definici není žádná odvolávka na DDHM dle účetní předpisů, tj. definice obsahuje jak DDHM, tak i „Jiný DDHM“, oba druhy věcí mají použitelnost delší než rok, a oba druhy věcí nebo jen v případě „Jiného DDHM“ si účetní jednotka stanovila nižší hranici než 3 tis. Kč pro jejich evidenci, podmínky definice jsou splněny. I z důvodu srovnatelnosti mezi obdobími doporučujeme na položku 5137 třídit stejné druhy věcí jako do roku 2021, tj. včetně „Jiného DDHM“.   </w:t>
      </w:r>
    </w:p>
    <w:p w14:paraId="746BF3E1" w14:textId="77777777" w:rsidR="00935E94" w:rsidRDefault="00935E94" w:rsidP="00C06828">
      <w:pPr>
        <w:spacing w:after="120"/>
        <w:jc w:val="both"/>
        <w:rPr>
          <w:rFonts w:ascii="Times New Roman" w:hAnsi="Times New Roman" w:cs="Times New Roman"/>
          <w:sz w:val="28"/>
          <w:szCs w:val="28"/>
        </w:rPr>
      </w:pPr>
    </w:p>
    <w:p w14:paraId="29C7F980" w14:textId="325EA851" w:rsidR="00891D85" w:rsidRPr="00891D85" w:rsidRDefault="00891D85" w:rsidP="00F00CFC">
      <w:pPr>
        <w:pStyle w:val="Nadpis3"/>
      </w:pPr>
      <w:bookmarkStart w:id="20" w:name="_Toc94609619"/>
      <w:r w:rsidRPr="00891D85">
        <w:t>Ostatní pojmy k majetku</w:t>
      </w:r>
      <w:bookmarkEnd w:id="20"/>
    </w:p>
    <w:p w14:paraId="5F43CC9A" w14:textId="16A74327" w:rsidR="002B6983" w:rsidRPr="00C06828" w:rsidRDefault="00C06828" w:rsidP="00C06828">
      <w:pPr>
        <w:spacing w:after="120"/>
        <w:jc w:val="both"/>
        <w:rPr>
          <w:b/>
          <w:bCs/>
        </w:rPr>
      </w:pPr>
      <w:r w:rsidRPr="00C06828">
        <w:rPr>
          <w:b/>
          <w:bCs/>
        </w:rPr>
        <w:t xml:space="preserve">Pojem č. 28: </w:t>
      </w:r>
      <w:r w:rsidR="002B6983" w:rsidRPr="00C06828">
        <w:rPr>
          <w:b/>
          <w:bCs/>
        </w:rPr>
        <w:t>nadlimitním technickým zhodnocením</w:t>
      </w:r>
      <w:r w:rsidR="002B6983" w:rsidRPr="00C06828">
        <w:t xml:space="preserve"> hmotné věci (hmotného majetku) rozumí technické zhodnocení hmotné věci (hmotného majetku), za něž se vydalo více než 40 tisíc Kč; výdajem na nadlimitní technické zhodnocení hmotné věci (hmotného majetku) se rozumí výdaj vyšší než 40 tisíc </w:t>
      </w:r>
      <w:r w:rsidR="002B6983" w:rsidRPr="00C06828">
        <w:lastRenderedPageBreak/>
        <w:t xml:space="preserve">Kč; </w:t>
      </w:r>
      <w:r w:rsidR="002B6983" w:rsidRPr="00C06828">
        <w:rPr>
          <w:b/>
          <w:bCs/>
        </w:rPr>
        <w:t>výdaj do 40 tisíc Kč jím není ani v případě, že je vynaložen v rámci akce nadlimitního technického zhodnocení,</w:t>
      </w:r>
    </w:p>
    <w:p w14:paraId="470D1566" w14:textId="77777777" w:rsidR="002B6983" w:rsidRPr="00C06828" w:rsidRDefault="002B6983" w:rsidP="00C06828">
      <w:pPr>
        <w:spacing w:after="120"/>
        <w:jc w:val="both"/>
        <w:rPr>
          <w:rFonts w:ascii="Times New Roman" w:hAnsi="Times New Roman" w:cs="Times New Roman"/>
          <w:i/>
          <w:iCs/>
        </w:rPr>
      </w:pPr>
      <w:r w:rsidRPr="00C06828">
        <w:rPr>
          <w:rFonts w:ascii="Times New Roman" w:hAnsi="Times New Roman" w:cs="Times New Roman"/>
          <w:b/>
          <w:bCs/>
          <w:i/>
          <w:iCs/>
        </w:rPr>
        <w:t>Komentář:</w:t>
      </w:r>
      <w:r w:rsidRPr="00C06828">
        <w:rPr>
          <w:rFonts w:ascii="Times New Roman" w:hAnsi="Times New Roman" w:cs="Times New Roman"/>
          <w:i/>
          <w:iCs/>
        </w:rPr>
        <w:t xml:space="preserve"> </w:t>
      </w:r>
      <w:r w:rsidRPr="00C06828">
        <w:rPr>
          <w:rFonts w:ascii="Times New Roman" w:hAnsi="Times New Roman" w:cs="Times New Roman"/>
          <w:b/>
          <w:bCs/>
          <w:i/>
          <w:iCs/>
        </w:rPr>
        <w:t>Závěrečný text bodu 28 nelze aplikovat z důvodu neprávnosti</w:t>
      </w:r>
      <w:r w:rsidRPr="00C06828">
        <w:rPr>
          <w:rFonts w:ascii="Times New Roman" w:hAnsi="Times New Roman" w:cs="Times New Roman"/>
          <w:i/>
          <w:iCs/>
        </w:rPr>
        <w:t xml:space="preserve">. Prosím porovnejte i s textem pokynu k podseskupení 612: </w:t>
      </w:r>
    </w:p>
    <w:p w14:paraId="5BFAC1A5" w14:textId="77777777" w:rsidR="002B6983" w:rsidRPr="00C06828" w:rsidRDefault="002B6983" w:rsidP="00C06828">
      <w:pPr>
        <w:spacing w:after="120"/>
        <w:jc w:val="both"/>
        <w:rPr>
          <w:rFonts w:ascii="Arial" w:hAnsi="Arial" w:cs="Arial"/>
          <w:b/>
          <w:sz w:val="20"/>
          <w:szCs w:val="20"/>
        </w:rPr>
      </w:pPr>
      <w:r w:rsidRPr="00C06828">
        <w:rPr>
          <w:rFonts w:ascii="Arial" w:hAnsi="Arial" w:cs="Arial"/>
          <w:b/>
          <w:sz w:val="20"/>
          <w:szCs w:val="20"/>
          <w:highlight w:val="lightGray"/>
        </w:rPr>
        <w:t>Podseskupení položek 612 - Pořízení dlouhodobého hmotného majetku</w:t>
      </w:r>
    </w:p>
    <w:p w14:paraId="3DE3BDBE" w14:textId="77777777" w:rsidR="002B6983" w:rsidRPr="00C06828" w:rsidRDefault="002B6983" w:rsidP="00C06828">
      <w:pPr>
        <w:spacing w:after="120"/>
        <w:jc w:val="both"/>
      </w:pPr>
      <w:r w:rsidRPr="00C06828">
        <w:rPr>
          <w:u w:val="single"/>
        </w:rPr>
        <w:t>Součásti výdajů</w:t>
      </w:r>
      <w:r w:rsidRPr="00C06828">
        <w:t xml:space="preserve"> na pořízení dlouhodobého hmotného majetku, jak je definuje § 55 vyhlášky č. 410/2009 Sb., se zatřiďují podle jejich charakteru pod jednotlivé položky podseskupení 612 </w:t>
      </w:r>
      <w:r w:rsidRPr="00C06828">
        <w:rPr>
          <w:u w:val="single"/>
        </w:rPr>
        <w:t>(v současné době pořizovací cena 40 tis. Kč a doba použitelnosti jeden rok),</w:t>
      </w:r>
      <w:r w:rsidRPr="00C06828">
        <w:t xml:space="preserve"> včetně projektové dokumentace zpracované pro účely návrhu na vydání územního rozhodnutí, k žádosti o stavební povolení a skutečného povolení stavby.</w:t>
      </w:r>
    </w:p>
    <w:p w14:paraId="64F303F4" w14:textId="77777777" w:rsidR="002B6983" w:rsidRPr="00C06828" w:rsidRDefault="002B6983" w:rsidP="00C06828">
      <w:pPr>
        <w:spacing w:after="120"/>
        <w:jc w:val="both"/>
        <w:rPr>
          <w:rFonts w:ascii="Times New Roman" w:hAnsi="Times New Roman" w:cs="Times New Roman"/>
          <w:i/>
          <w:iCs/>
          <w:sz w:val="24"/>
          <w:szCs w:val="24"/>
        </w:rPr>
      </w:pPr>
      <w:r w:rsidRPr="00C06828">
        <w:rPr>
          <w:rFonts w:ascii="Times New Roman" w:hAnsi="Times New Roman" w:cs="Times New Roman"/>
          <w:i/>
          <w:iCs/>
          <w:sz w:val="24"/>
          <w:szCs w:val="24"/>
        </w:rPr>
        <w:t>Oba texty vyznívají tak, že pokud součástí výdajů na pořízení dlouhodobého majetku je jednotlivý dílčí výdaj v hodnotě pod 40 tis. Kč, že nepatří do „dlouhodobého majetku“. Tento výklad však by byl zcela nesprávný</w:t>
      </w:r>
      <w:r w:rsidRPr="00C06828">
        <w:rPr>
          <w:rFonts w:ascii="Times New Roman" w:hAnsi="Times New Roman" w:cs="Times New Roman"/>
          <w:b/>
          <w:bCs/>
          <w:i/>
          <w:iCs/>
          <w:sz w:val="24"/>
          <w:szCs w:val="24"/>
        </w:rPr>
        <w:t>, druh výdaje nikdy neurčuje ocenění dílčích – jednotlivých součástí výdajů,</w:t>
      </w:r>
      <w:r w:rsidRPr="00C06828">
        <w:rPr>
          <w:rFonts w:ascii="Times New Roman" w:hAnsi="Times New Roman" w:cs="Times New Roman"/>
          <w:i/>
          <w:iCs/>
          <w:sz w:val="24"/>
          <w:szCs w:val="24"/>
        </w:rPr>
        <w:t xml:space="preserve"> které vstupují do ocenění dlouhodobého majetku. Takový postup by měl za následek velké poškození vypovídací schopnosti výkazů, ale i rozpočtu (nebylo by možné stanovit rozpočet na kapitálové výdaje) a celkového smyslu třídění. Předpokládáme, že se tato nesprávnost brzy v pokynu opraví. </w:t>
      </w:r>
    </w:p>
    <w:p w14:paraId="59EB90FD" w14:textId="77777777" w:rsidR="002B6983" w:rsidRPr="00FB4FA0" w:rsidRDefault="002B6983" w:rsidP="002B6983">
      <w:pPr>
        <w:spacing w:after="120"/>
        <w:ind w:left="341"/>
        <w:jc w:val="both"/>
        <w:rPr>
          <w:i/>
          <w:iCs/>
          <w:color w:val="0070C0"/>
        </w:rPr>
      </w:pPr>
    </w:p>
    <w:p w14:paraId="3D262296" w14:textId="62D9F315" w:rsidR="002B6983" w:rsidRPr="00C06828" w:rsidRDefault="00C06828" w:rsidP="00C06828">
      <w:pPr>
        <w:spacing w:after="120"/>
        <w:jc w:val="both"/>
        <w:rPr>
          <w:b/>
          <w:bCs/>
        </w:rPr>
      </w:pPr>
      <w:r w:rsidRPr="00C06828">
        <w:rPr>
          <w:b/>
          <w:bCs/>
        </w:rPr>
        <w:t xml:space="preserve">Pojem č. 29: </w:t>
      </w:r>
      <w:r w:rsidR="002B6983" w:rsidRPr="00C06828">
        <w:rPr>
          <w:b/>
          <w:bCs/>
        </w:rPr>
        <w:t>nadlimitním technickým zhodnocením nehmotné věci</w:t>
      </w:r>
      <w:r w:rsidR="002B6983" w:rsidRPr="00C06828">
        <w:t xml:space="preserve"> (nehmotného majetku) rozumí technické zhodnocení nehmotné věci (nehmotného majetku), za něž se vydalo více než 60 tisíc Kč; výdajem na nadlimitní technické zhodnocení nehmotné věci (nehmotného majetku) se rozumí výdaj vyšší než 60 tisíc Kč; </w:t>
      </w:r>
      <w:r w:rsidR="002B6983" w:rsidRPr="00C06828">
        <w:rPr>
          <w:b/>
          <w:bCs/>
        </w:rPr>
        <w:t>výdaj do 60 tisíc Kč jím není ani v případě, že je vynaložen v rámci akce nadlimitního technického zhodnocení,</w:t>
      </w:r>
    </w:p>
    <w:p w14:paraId="7B09A4D0" w14:textId="77777777" w:rsidR="002B6983" w:rsidRPr="00C06828" w:rsidRDefault="002B6983" w:rsidP="00C06828">
      <w:pPr>
        <w:spacing w:after="120"/>
        <w:jc w:val="both"/>
        <w:rPr>
          <w:rFonts w:ascii="Times New Roman" w:hAnsi="Times New Roman" w:cs="Times New Roman"/>
          <w:i/>
          <w:iCs/>
          <w:sz w:val="24"/>
          <w:szCs w:val="24"/>
        </w:rPr>
      </w:pPr>
      <w:r w:rsidRPr="00C06828">
        <w:rPr>
          <w:rFonts w:ascii="Times New Roman" w:hAnsi="Times New Roman" w:cs="Times New Roman"/>
          <w:i/>
          <w:iCs/>
          <w:sz w:val="24"/>
          <w:szCs w:val="24"/>
        </w:rPr>
        <w:t xml:space="preserve">Viz komentář k bodu 28, závěr textu nelze aplikovat z důvodu nesprávnosti. </w:t>
      </w:r>
    </w:p>
    <w:p w14:paraId="3C04B4FA" w14:textId="77777777" w:rsidR="002B6983" w:rsidRPr="007B12F1" w:rsidRDefault="002B6983" w:rsidP="002B6983">
      <w:pPr>
        <w:pStyle w:val="Odstavecseseznamem"/>
        <w:spacing w:after="120"/>
        <w:ind w:left="341"/>
        <w:contextualSpacing w:val="0"/>
        <w:jc w:val="both"/>
        <w:rPr>
          <w:i/>
          <w:iCs/>
        </w:rPr>
      </w:pPr>
    </w:p>
    <w:p w14:paraId="1B9FA693" w14:textId="4CBEF2C8" w:rsidR="002B6983" w:rsidRPr="007B12F1" w:rsidRDefault="00C06828" w:rsidP="00C06828">
      <w:pPr>
        <w:spacing w:after="120"/>
        <w:jc w:val="both"/>
      </w:pPr>
      <w:r w:rsidRPr="007B12F1">
        <w:rPr>
          <w:b/>
          <w:bCs/>
        </w:rPr>
        <w:t xml:space="preserve">Pojem č. 30: </w:t>
      </w:r>
      <w:r w:rsidR="002B6983" w:rsidRPr="007B12F1">
        <w:rPr>
          <w:b/>
          <w:bCs/>
        </w:rPr>
        <w:t>nadlimitním věcným břemenem</w:t>
      </w:r>
      <w:r w:rsidR="002B6983" w:rsidRPr="007B12F1">
        <w:t xml:space="preserve"> rozumí věcné břemeno, které se nepořizuje jako součást stavby a výdaj na něž přesahuje 40 tisíc Kč,</w:t>
      </w:r>
    </w:p>
    <w:p w14:paraId="5331A98F" w14:textId="38966760" w:rsidR="002B6983" w:rsidRPr="007B12F1" w:rsidRDefault="00C06828" w:rsidP="00C06828">
      <w:pPr>
        <w:spacing w:after="120"/>
        <w:jc w:val="both"/>
        <w:rPr>
          <w:b/>
          <w:bCs/>
        </w:rPr>
      </w:pPr>
      <w:bookmarkStart w:id="21" w:name="_Hlk93531291"/>
      <w:r w:rsidRPr="007B12F1">
        <w:rPr>
          <w:b/>
          <w:bCs/>
        </w:rPr>
        <w:t xml:space="preserve">Pojem č. 73: </w:t>
      </w:r>
      <w:r w:rsidR="002B6983" w:rsidRPr="007B12F1">
        <w:rPr>
          <w:b/>
          <w:bCs/>
        </w:rPr>
        <w:t>technickým zhodnocením</w:t>
      </w:r>
      <w:r w:rsidR="002B6983" w:rsidRPr="007B12F1">
        <w:t xml:space="preserve"> hmotné věci (hmotného majetku) její úprava, kterou se zvýší její použitelnost, včetně toho, že se vytvoří její nová součást (§ 505 občanského zákoníku); zvýšením použitelnosti hmotné věci se rozumí nabytí schopnosti uspokojit další potřeby; technickým zhodnocením hmotné věci je její vybavení novou věcí jen v případě, že tato nová věc je ke zhodnocované věci pevně připojena (přilepením, šroubem, hřebíkem, nýtem nebo jiným způsobem majícím povahu montáže) a nový celek může uspokojit více potřeb než celek původní; technickým zhodnocením hmotné věci je i odstranění její části nebo pevně připojené věci, zvýší-li se tím její použitelnost; </w:t>
      </w:r>
      <w:r w:rsidR="002B6983" w:rsidRPr="007B12F1">
        <w:rPr>
          <w:b/>
          <w:bCs/>
        </w:rPr>
        <w:t xml:space="preserve">technickým zhodnocením pozemku není vybudování stavby na něm; </w:t>
      </w:r>
    </w:p>
    <w:p w14:paraId="3342BBC6" w14:textId="77777777" w:rsidR="002B6983" w:rsidRPr="00935E94" w:rsidRDefault="002B6983" w:rsidP="00C06828">
      <w:pPr>
        <w:spacing w:after="120"/>
        <w:jc w:val="both"/>
        <w:rPr>
          <w:rFonts w:ascii="Times New Roman" w:hAnsi="Times New Roman" w:cs="Times New Roman"/>
          <w:b/>
          <w:bCs/>
          <w:i/>
          <w:iCs/>
          <w:sz w:val="24"/>
          <w:szCs w:val="24"/>
        </w:rPr>
      </w:pPr>
      <w:r w:rsidRPr="00935E94">
        <w:rPr>
          <w:rFonts w:ascii="Times New Roman" w:hAnsi="Times New Roman" w:cs="Times New Roman"/>
          <w:b/>
          <w:bCs/>
          <w:i/>
          <w:iCs/>
          <w:sz w:val="24"/>
          <w:szCs w:val="24"/>
        </w:rPr>
        <w:t xml:space="preserve">Komentář: </w:t>
      </w:r>
      <w:r w:rsidRPr="00935E94">
        <w:rPr>
          <w:rFonts w:ascii="Times New Roman" w:hAnsi="Times New Roman" w:cs="Times New Roman"/>
          <w:i/>
          <w:iCs/>
          <w:sz w:val="24"/>
          <w:szCs w:val="24"/>
        </w:rPr>
        <w:t xml:space="preserve">Pro potřeby třídění bychom měli opět spíše vycházet z účetní definice technického zhodnocení (vyhláška č. 410/2009 Sb., §55, odst.4). Je i srozumitelnější a v praxi široce aplikována. </w:t>
      </w:r>
      <w:r w:rsidRPr="00935E94">
        <w:rPr>
          <w:rFonts w:ascii="Times New Roman" w:hAnsi="Times New Roman" w:cs="Times New Roman"/>
          <w:b/>
          <w:bCs/>
          <w:i/>
          <w:iCs/>
          <w:sz w:val="24"/>
          <w:szCs w:val="24"/>
        </w:rPr>
        <w:t xml:space="preserve">  </w:t>
      </w:r>
    </w:p>
    <w:bookmarkEnd w:id="21"/>
    <w:p w14:paraId="222A7931" w14:textId="0EB086D1" w:rsidR="002B6983" w:rsidRPr="007B12F1" w:rsidRDefault="00C06828" w:rsidP="00C06828">
      <w:pPr>
        <w:spacing w:after="120"/>
        <w:jc w:val="both"/>
      </w:pPr>
      <w:r w:rsidRPr="007B12F1">
        <w:rPr>
          <w:b/>
          <w:bCs/>
        </w:rPr>
        <w:t xml:space="preserve">Pojem č. 74: </w:t>
      </w:r>
      <w:r w:rsidR="002B6983" w:rsidRPr="007B12F1">
        <w:rPr>
          <w:b/>
          <w:bCs/>
        </w:rPr>
        <w:t>technickým zhodnocením nehmotné věci</w:t>
      </w:r>
      <w:r w:rsidR="002B6983" w:rsidRPr="007B12F1">
        <w:t xml:space="preserve"> (nehmotného majetku) (upgrade) rozumí jeho úprava přinášející zásadní zvýšení jeho použitelnosti nebo jeho nové zásadní funkce,</w:t>
      </w:r>
    </w:p>
    <w:p w14:paraId="140E59A2" w14:textId="36C7F92E" w:rsidR="009D45E0" w:rsidRPr="007B12F1" w:rsidRDefault="00C06828" w:rsidP="007B12F1">
      <w:pPr>
        <w:spacing w:after="120"/>
        <w:jc w:val="both"/>
      </w:pPr>
      <w:r w:rsidRPr="007B12F1">
        <w:rPr>
          <w:b/>
          <w:bCs/>
        </w:rPr>
        <w:t xml:space="preserve">Pojem č. </w:t>
      </w:r>
      <w:r w:rsidR="007B12F1" w:rsidRPr="007B12F1">
        <w:rPr>
          <w:b/>
          <w:bCs/>
        </w:rPr>
        <w:t xml:space="preserve">48: </w:t>
      </w:r>
      <w:r w:rsidR="009D45E0" w:rsidRPr="007B12F1">
        <w:rPr>
          <w:b/>
          <w:bCs/>
        </w:rPr>
        <w:t>podlimitním technickým zhodnocením hmotné věci</w:t>
      </w:r>
      <w:r w:rsidR="009D45E0" w:rsidRPr="007B12F1">
        <w:t xml:space="preserve"> (hmotného majetku) rozumí technické zhodnocení hmotné věci (hmotného majetku), za něž se vydalo 40 tisíc Kč nebo méně,</w:t>
      </w:r>
    </w:p>
    <w:p w14:paraId="05916822" w14:textId="7B85820A" w:rsidR="009D45E0" w:rsidRPr="007B12F1" w:rsidRDefault="007B12F1" w:rsidP="007B12F1">
      <w:pPr>
        <w:spacing w:after="120"/>
        <w:jc w:val="both"/>
      </w:pPr>
      <w:r w:rsidRPr="007B12F1">
        <w:rPr>
          <w:b/>
          <w:bCs/>
        </w:rPr>
        <w:lastRenderedPageBreak/>
        <w:t xml:space="preserve">Pojem č. 49: </w:t>
      </w:r>
      <w:r w:rsidR="009D45E0" w:rsidRPr="007B12F1">
        <w:rPr>
          <w:b/>
          <w:bCs/>
        </w:rPr>
        <w:t>podlimitním technickým zhodnocením nehmotné věci</w:t>
      </w:r>
      <w:r w:rsidR="009D45E0" w:rsidRPr="007B12F1">
        <w:t xml:space="preserve"> (nehmotného majetku) rozumí technické zhodnocení nehmotné věci (nehmotného majetku), za něž se vydalo 60 tisíc Kč nebo méně,</w:t>
      </w:r>
    </w:p>
    <w:p w14:paraId="36549062" w14:textId="4CE30807" w:rsidR="009D45E0" w:rsidRPr="007B12F1" w:rsidRDefault="007B12F1" w:rsidP="007B12F1">
      <w:pPr>
        <w:suppressAutoHyphens/>
        <w:spacing w:after="120"/>
        <w:jc w:val="both"/>
      </w:pPr>
      <w:r w:rsidRPr="007B12F1">
        <w:rPr>
          <w:b/>
          <w:bCs/>
        </w:rPr>
        <w:t xml:space="preserve">Pojem č. 50: </w:t>
      </w:r>
      <w:r w:rsidR="009D45E0" w:rsidRPr="007B12F1">
        <w:rPr>
          <w:b/>
          <w:bCs/>
        </w:rPr>
        <w:t>podlimitním věcným břemenem</w:t>
      </w:r>
      <w:r w:rsidR="009D45E0" w:rsidRPr="007B12F1">
        <w:t xml:space="preserve"> rozumí věcné břemeno, které se nepořizuje jako součást stavby a výdaj na něž nepřesahuje 40 tisíc Kč,</w:t>
      </w:r>
    </w:p>
    <w:p w14:paraId="50763215" w14:textId="77777777" w:rsidR="00780F9D" w:rsidRDefault="00780F9D" w:rsidP="00F7587C"/>
    <w:p w14:paraId="10CCCC3F" w14:textId="1C0AF700" w:rsidR="00780F9D" w:rsidRDefault="00977BD6" w:rsidP="00F00CFC">
      <w:pPr>
        <w:pStyle w:val="Nadpis3"/>
      </w:pPr>
      <w:bookmarkStart w:id="22" w:name="_Toc94608957"/>
      <w:bookmarkStart w:id="23" w:name="_Toc94609620"/>
      <w:r>
        <w:t>3.4. Vztahy k zahraničí</w:t>
      </w:r>
      <w:bookmarkEnd w:id="22"/>
      <w:bookmarkEnd w:id="23"/>
      <w:r>
        <w:t xml:space="preserve"> </w:t>
      </w:r>
    </w:p>
    <w:p w14:paraId="2AD27814" w14:textId="27D37BDE" w:rsidR="00780F9D" w:rsidRPr="00977BD6" w:rsidRDefault="00A24CC7" w:rsidP="00F7587C">
      <w:pPr>
        <w:rPr>
          <w:rFonts w:ascii="Times New Roman" w:hAnsi="Times New Roman" w:cs="Times New Roman"/>
          <w:sz w:val="24"/>
          <w:szCs w:val="24"/>
        </w:rPr>
      </w:pPr>
      <w:r w:rsidRPr="00977BD6">
        <w:rPr>
          <w:rFonts w:ascii="Times New Roman" w:hAnsi="Times New Roman" w:cs="Times New Roman"/>
          <w:sz w:val="24"/>
          <w:szCs w:val="24"/>
        </w:rPr>
        <w:t xml:space="preserve">Pojmy č. 26-27 rozdělují mezinárodní organizace na vládní, nevládní a ostatní. </w:t>
      </w:r>
    </w:p>
    <w:p w14:paraId="6426135A" w14:textId="5FA4A7BA" w:rsidR="004C1CEE" w:rsidRPr="00977BD6" w:rsidRDefault="00780F9D" w:rsidP="006B04EA">
      <w:pPr>
        <w:rPr>
          <w:rFonts w:ascii="Times New Roman" w:hAnsi="Times New Roman" w:cs="Times New Roman"/>
          <w:sz w:val="24"/>
          <w:szCs w:val="24"/>
        </w:rPr>
      </w:pPr>
      <w:r w:rsidRPr="00977BD6">
        <w:rPr>
          <w:rFonts w:ascii="Times New Roman" w:hAnsi="Times New Roman" w:cs="Times New Roman"/>
          <w:sz w:val="24"/>
          <w:szCs w:val="24"/>
        </w:rPr>
        <w:t xml:space="preserve">Pojem č. 31 definuje nadnárodní organizaci (v našich podmínkách především EU). </w:t>
      </w:r>
    </w:p>
    <w:p w14:paraId="63E0B364" w14:textId="4B3BECBF" w:rsidR="00977BD6" w:rsidRDefault="00977BD6" w:rsidP="00977BD6">
      <w:pPr>
        <w:rPr>
          <w:rFonts w:ascii="Times New Roman" w:hAnsi="Times New Roman" w:cs="Times New Roman"/>
          <w:sz w:val="24"/>
          <w:szCs w:val="24"/>
        </w:rPr>
      </w:pPr>
      <w:r>
        <w:rPr>
          <w:rFonts w:ascii="Times New Roman" w:hAnsi="Times New Roman" w:cs="Times New Roman"/>
          <w:sz w:val="24"/>
          <w:szCs w:val="24"/>
        </w:rPr>
        <w:t xml:space="preserve">Toto rozdělení využijeme u ÚSC výjimečně, jedná se např.  o volbu položky </w:t>
      </w:r>
      <w:r w:rsidRPr="00977BD6">
        <w:rPr>
          <w:rFonts w:ascii="Times New Roman" w:hAnsi="Times New Roman" w:cs="Times New Roman"/>
          <w:sz w:val="24"/>
          <w:szCs w:val="24"/>
        </w:rPr>
        <w:t>5511</w:t>
      </w:r>
      <w:r>
        <w:rPr>
          <w:rFonts w:ascii="Times New Roman" w:hAnsi="Times New Roman" w:cs="Times New Roman"/>
          <w:sz w:val="24"/>
          <w:szCs w:val="24"/>
        </w:rPr>
        <w:t>pro</w:t>
      </w:r>
      <w:r w:rsidR="007B12F1">
        <w:rPr>
          <w:rFonts w:ascii="Times New Roman" w:hAnsi="Times New Roman" w:cs="Times New Roman"/>
          <w:sz w:val="24"/>
          <w:szCs w:val="24"/>
        </w:rPr>
        <w:t xml:space="preserve"> transfery</w:t>
      </w:r>
      <w:r w:rsidRPr="00977BD6">
        <w:rPr>
          <w:rFonts w:ascii="Times New Roman" w:hAnsi="Times New Roman" w:cs="Times New Roman"/>
          <w:sz w:val="24"/>
          <w:szCs w:val="24"/>
        </w:rPr>
        <w:t xml:space="preserve"> vládní</w:t>
      </w:r>
      <w:r w:rsidR="007B12F1">
        <w:rPr>
          <w:rFonts w:ascii="Times New Roman" w:hAnsi="Times New Roman" w:cs="Times New Roman"/>
          <w:sz w:val="24"/>
          <w:szCs w:val="24"/>
        </w:rPr>
        <w:t>m</w:t>
      </w:r>
      <w:r w:rsidRPr="00977BD6">
        <w:rPr>
          <w:rFonts w:ascii="Times New Roman" w:hAnsi="Times New Roman" w:cs="Times New Roman"/>
          <w:sz w:val="24"/>
          <w:szCs w:val="24"/>
        </w:rPr>
        <w:t xml:space="preserve"> </w:t>
      </w:r>
      <w:r>
        <w:rPr>
          <w:rFonts w:ascii="Times New Roman" w:hAnsi="Times New Roman" w:cs="Times New Roman"/>
          <w:sz w:val="24"/>
          <w:szCs w:val="24"/>
        </w:rPr>
        <w:t>mezinárodní</w:t>
      </w:r>
      <w:r w:rsidR="007B12F1">
        <w:rPr>
          <w:rFonts w:ascii="Times New Roman" w:hAnsi="Times New Roman" w:cs="Times New Roman"/>
          <w:sz w:val="24"/>
          <w:szCs w:val="24"/>
        </w:rPr>
        <w:t>m</w:t>
      </w:r>
      <w:r>
        <w:rPr>
          <w:rFonts w:ascii="Times New Roman" w:hAnsi="Times New Roman" w:cs="Times New Roman"/>
          <w:sz w:val="24"/>
          <w:szCs w:val="24"/>
        </w:rPr>
        <w:t xml:space="preserve"> organizac</w:t>
      </w:r>
      <w:r w:rsidR="007B12F1">
        <w:rPr>
          <w:rFonts w:ascii="Times New Roman" w:hAnsi="Times New Roman" w:cs="Times New Roman"/>
          <w:sz w:val="24"/>
          <w:szCs w:val="24"/>
        </w:rPr>
        <w:t>ím</w:t>
      </w:r>
      <w:r>
        <w:rPr>
          <w:rFonts w:ascii="Times New Roman" w:hAnsi="Times New Roman" w:cs="Times New Roman"/>
          <w:sz w:val="24"/>
          <w:szCs w:val="24"/>
        </w:rPr>
        <w:t xml:space="preserve">, položku </w:t>
      </w:r>
      <w:r w:rsidRPr="00977BD6">
        <w:rPr>
          <w:rFonts w:ascii="Times New Roman" w:hAnsi="Times New Roman" w:cs="Times New Roman"/>
          <w:sz w:val="24"/>
          <w:szCs w:val="24"/>
        </w:rPr>
        <w:t xml:space="preserve">5512 </w:t>
      </w:r>
      <w:r>
        <w:rPr>
          <w:rFonts w:ascii="Times New Roman" w:hAnsi="Times New Roman" w:cs="Times New Roman"/>
          <w:sz w:val="24"/>
          <w:szCs w:val="24"/>
        </w:rPr>
        <w:t xml:space="preserve">pro např. transfery EU (nadnárodní), a položky podseskupení 552x a 553x pro ostatní mezinárodní organizace. </w:t>
      </w:r>
    </w:p>
    <w:p w14:paraId="2AC7C9EF" w14:textId="77777777" w:rsidR="007B12F1" w:rsidRDefault="007B12F1" w:rsidP="005578D4">
      <w:pPr>
        <w:pStyle w:val="Nadpis2"/>
      </w:pPr>
    </w:p>
    <w:p w14:paraId="441BE608" w14:textId="6D59D831" w:rsidR="005578D4" w:rsidRDefault="005578D4" w:rsidP="00F00CFC">
      <w:pPr>
        <w:pStyle w:val="Nadpis3"/>
      </w:pPr>
      <w:bookmarkStart w:id="24" w:name="_Toc94608958"/>
      <w:bookmarkStart w:id="25" w:name="_Toc94609621"/>
      <w:r>
        <w:t>3.</w:t>
      </w:r>
      <w:r w:rsidR="00977BD6">
        <w:t>5</w:t>
      </w:r>
      <w:r>
        <w:t>. Ostatní pojmy v pokynu</w:t>
      </w:r>
      <w:bookmarkEnd w:id="24"/>
      <w:bookmarkEnd w:id="25"/>
      <w:r>
        <w:t xml:space="preserve"> </w:t>
      </w:r>
    </w:p>
    <w:p w14:paraId="417897BF" w14:textId="0495A9A8" w:rsidR="004C1CEE" w:rsidRDefault="005578D4" w:rsidP="00940FD0">
      <w:bookmarkStart w:id="26" w:name="_Toc94608959"/>
      <w:r w:rsidRPr="00977BD6">
        <w:t>Zde neuvedené pojmy buď nejsou relevantní, nebo je připomínáme v souvislostech s vybranými odstavci v další kapitole „Obecné zásady“.</w:t>
      </w:r>
      <w:bookmarkEnd w:id="26"/>
      <w:r w:rsidRPr="00977BD6">
        <w:t xml:space="preserve"> </w:t>
      </w:r>
    </w:p>
    <w:p w14:paraId="7C9A3BB0" w14:textId="77B32FB8" w:rsidR="00592B8A" w:rsidRDefault="00592B8A" w:rsidP="00940FD0"/>
    <w:p w14:paraId="303AAEF7" w14:textId="77777777" w:rsidR="00F25650" w:rsidRDefault="00F25650" w:rsidP="00592B8A"/>
    <w:p w14:paraId="6EECD4F2" w14:textId="0495A902" w:rsidR="00592B8A" w:rsidRDefault="00891D85" w:rsidP="00946652">
      <w:pPr>
        <w:pStyle w:val="Nadpis1"/>
      </w:pPr>
      <w:bookmarkStart w:id="27" w:name="_Toc94608960"/>
      <w:bookmarkStart w:id="28" w:name="_Toc94609622"/>
      <w:r>
        <w:t>4</w:t>
      </w:r>
      <w:r w:rsidR="00946652">
        <w:t>. Pokyn – obecné</w:t>
      </w:r>
      <w:r w:rsidR="00592B8A" w:rsidRPr="006D6E64">
        <w:t xml:space="preserve"> zásady vztahující se k třídění příjmů, výdajů a financujících položek</w:t>
      </w:r>
      <w:bookmarkEnd w:id="27"/>
      <w:bookmarkEnd w:id="28"/>
    </w:p>
    <w:p w14:paraId="604D93B7" w14:textId="16054C82" w:rsidR="00B0165F" w:rsidRDefault="00B0165F" w:rsidP="00B0165F">
      <w:pPr>
        <w:pStyle w:val="Default"/>
      </w:pPr>
    </w:p>
    <w:p w14:paraId="5FCB6D1D" w14:textId="6C108089" w:rsidR="004102E5" w:rsidRPr="007B12F1" w:rsidRDefault="004102E5" w:rsidP="00B0165F">
      <w:pPr>
        <w:pStyle w:val="Default"/>
        <w:rPr>
          <w:rFonts w:ascii="Times New Roman" w:hAnsi="Times New Roman" w:cs="Times New Roman"/>
        </w:rPr>
      </w:pPr>
      <w:r w:rsidRPr="007B12F1">
        <w:rPr>
          <w:rFonts w:ascii="Times New Roman" w:hAnsi="Times New Roman" w:cs="Times New Roman"/>
        </w:rPr>
        <w:t xml:space="preserve">Obecné zásady se nejvíce týkají třídění položek. </w:t>
      </w:r>
    </w:p>
    <w:p w14:paraId="6454D231" w14:textId="568C3C0F" w:rsidR="004102E5" w:rsidRPr="007B12F1" w:rsidRDefault="004102E5" w:rsidP="00B0165F">
      <w:pPr>
        <w:pStyle w:val="Default"/>
        <w:rPr>
          <w:rFonts w:ascii="Times New Roman" w:hAnsi="Times New Roman" w:cs="Times New Roman"/>
        </w:rPr>
      </w:pPr>
      <w:r w:rsidRPr="007B12F1">
        <w:rPr>
          <w:rFonts w:ascii="Times New Roman" w:hAnsi="Times New Roman" w:cs="Times New Roman"/>
        </w:rPr>
        <w:t xml:space="preserve">Nejprve si připomeňme základní pravidla pro třídění do položek, některé z nich pokyn neobsahuje. </w:t>
      </w:r>
    </w:p>
    <w:p w14:paraId="456A31CD" w14:textId="77777777" w:rsidR="004102E5" w:rsidRPr="007B12F1" w:rsidRDefault="004102E5" w:rsidP="00B0165F">
      <w:pPr>
        <w:pStyle w:val="Pa7"/>
        <w:jc w:val="both"/>
        <w:rPr>
          <w:rFonts w:ascii="Times New Roman" w:hAnsi="Times New Roman" w:cs="Times New Roman"/>
          <w:b/>
          <w:bCs/>
        </w:rPr>
      </w:pPr>
    </w:p>
    <w:p w14:paraId="1B28C8D2" w14:textId="0D396BDC" w:rsidR="00B0165F" w:rsidRPr="00B0165F" w:rsidRDefault="00891D85" w:rsidP="00891D85">
      <w:pPr>
        <w:pStyle w:val="Nadpis2"/>
      </w:pPr>
      <w:bookmarkStart w:id="29" w:name="_Toc94608961"/>
      <w:bookmarkStart w:id="30" w:name="_Toc94609623"/>
      <w:r>
        <w:t xml:space="preserve">4.1. </w:t>
      </w:r>
      <w:r w:rsidR="00B0165F" w:rsidRPr="00B0165F">
        <w:t>Základní pravidla pro zařazení do položek:</w:t>
      </w:r>
      <w:bookmarkEnd w:id="29"/>
      <w:bookmarkEnd w:id="30"/>
      <w:r w:rsidR="00B0165F" w:rsidRPr="00B0165F">
        <w:t xml:space="preserve"> </w:t>
      </w:r>
    </w:p>
    <w:p w14:paraId="06ACE501" w14:textId="3040388A" w:rsidR="00B0165F" w:rsidRPr="00B0165F" w:rsidRDefault="00B0165F" w:rsidP="00CF5F72">
      <w:pPr>
        <w:pStyle w:val="Pa8"/>
        <w:numPr>
          <w:ilvl w:val="0"/>
          <w:numId w:val="12"/>
        </w:numPr>
        <w:jc w:val="both"/>
        <w:rPr>
          <w:rFonts w:ascii="Times New Roman" w:hAnsi="Times New Roman" w:cs="Times New Roman"/>
        </w:rPr>
      </w:pPr>
      <w:r w:rsidRPr="00B0165F">
        <w:rPr>
          <w:rFonts w:ascii="Times New Roman" w:hAnsi="Times New Roman" w:cs="Times New Roman"/>
        </w:rPr>
        <w:t xml:space="preserve">Do plnění rozpočtu se zahrnují jen takové příjmy, které byly skutečně přijaty, resp. takové finanční operace, které byly uskutečněny v kalendářním roce. </w:t>
      </w:r>
    </w:p>
    <w:p w14:paraId="38B5B5B5" w14:textId="77777777" w:rsidR="00CF5F72" w:rsidRDefault="00CF5F72" w:rsidP="00B0165F">
      <w:pPr>
        <w:pStyle w:val="Pa8"/>
        <w:ind w:left="340" w:hanging="340"/>
        <w:jc w:val="both"/>
        <w:rPr>
          <w:rFonts w:ascii="Times New Roman" w:hAnsi="Times New Roman" w:cs="Times New Roman"/>
        </w:rPr>
      </w:pPr>
    </w:p>
    <w:p w14:paraId="31D9FA22" w14:textId="6FEAC7FD" w:rsidR="00B0165F" w:rsidRDefault="00B0165F" w:rsidP="00CF5F72">
      <w:pPr>
        <w:pStyle w:val="Pa8"/>
        <w:numPr>
          <w:ilvl w:val="0"/>
          <w:numId w:val="12"/>
        </w:numPr>
        <w:jc w:val="both"/>
        <w:rPr>
          <w:rFonts w:ascii="Times New Roman" w:hAnsi="Times New Roman" w:cs="Times New Roman"/>
        </w:rPr>
      </w:pPr>
      <w:r w:rsidRPr="00B0165F">
        <w:rPr>
          <w:rFonts w:ascii="Times New Roman" w:hAnsi="Times New Roman" w:cs="Times New Roman"/>
        </w:rPr>
        <w:t>Do plnění výdajů se zařazuje jen takové čerpání prostředků, které se uskutečnilo v kalen</w:t>
      </w:r>
      <w:r w:rsidRPr="00B0165F">
        <w:rPr>
          <w:rFonts w:ascii="Times New Roman" w:hAnsi="Times New Roman" w:cs="Times New Roman"/>
        </w:rPr>
        <w:softHyphen/>
        <w:t xml:space="preserve">dářním roce. </w:t>
      </w:r>
    </w:p>
    <w:p w14:paraId="1D071E30" w14:textId="77777777" w:rsidR="00CF5F72" w:rsidRPr="00CF5F72" w:rsidRDefault="00CF5F72" w:rsidP="00CF5F72">
      <w:pPr>
        <w:pStyle w:val="Default"/>
      </w:pPr>
    </w:p>
    <w:p w14:paraId="125DA89F" w14:textId="7BB20D42" w:rsidR="00B0165F" w:rsidRDefault="00B0165F" w:rsidP="00CF5F72">
      <w:pPr>
        <w:pStyle w:val="Pa8"/>
        <w:numPr>
          <w:ilvl w:val="0"/>
          <w:numId w:val="12"/>
        </w:numPr>
        <w:jc w:val="both"/>
        <w:rPr>
          <w:rFonts w:ascii="Times New Roman" w:hAnsi="Times New Roman" w:cs="Times New Roman"/>
        </w:rPr>
      </w:pPr>
      <w:r w:rsidRPr="00B0165F">
        <w:rPr>
          <w:rFonts w:ascii="Times New Roman" w:hAnsi="Times New Roman" w:cs="Times New Roman"/>
        </w:rPr>
        <w:t>Pro zařazení příjmu nebo výdaje do plnění rozpočtu v kalendářním roce je rozhodující datum připsání anebo odepsání prostředků na bankovních účtech.</w:t>
      </w:r>
    </w:p>
    <w:p w14:paraId="52BF3C09" w14:textId="77777777" w:rsidR="00CF5F72" w:rsidRPr="00CF5F72" w:rsidRDefault="00CF5F72" w:rsidP="00CF5F72">
      <w:pPr>
        <w:pStyle w:val="Default"/>
      </w:pPr>
    </w:p>
    <w:p w14:paraId="21A72BF0" w14:textId="169FEED8" w:rsidR="00A252A9" w:rsidRPr="00A252A9" w:rsidRDefault="00A252A9" w:rsidP="00A252A9">
      <w:pPr>
        <w:pStyle w:val="Odstavecseseznamem"/>
        <w:numPr>
          <w:ilvl w:val="0"/>
          <w:numId w:val="2"/>
        </w:numPr>
        <w:spacing w:after="80"/>
        <w:jc w:val="both"/>
      </w:pPr>
      <w:r w:rsidRPr="00A252A9">
        <w:t xml:space="preserve">Třídění nelze meziročně opravit. Výkaz FIN </w:t>
      </w:r>
      <w:proofErr w:type="gramStart"/>
      <w:r w:rsidRPr="00A252A9">
        <w:t>2-12M</w:t>
      </w:r>
      <w:proofErr w:type="gramEnd"/>
      <w:r w:rsidRPr="00A252A9">
        <w:t xml:space="preserve"> za 12. období odeslan</w:t>
      </w:r>
      <w:r w:rsidR="007B12F1">
        <w:t>ý</w:t>
      </w:r>
      <w:r w:rsidRPr="00A252A9">
        <w:t xml:space="preserve"> do CSUIS cca počátkem února následujícího roku je vždy v konečném znění. </w:t>
      </w:r>
    </w:p>
    <w:p w14:paraId="70F92902" w14:textId="77777777" w:rsidR="00A252A9" w:rsidRPr="00A252A9" w:rsidRDefault="00A252A9" w:rsidP="00A252A9">
      <w:pPr>
        <w:pStyle w:val="Default"/>
        <w:rPr>
          <w:rFonts w:ascii="Times New Roman" w:hAnsi="Times New Roman" w:cs="Times New Roman"/>
          <w:color w:val="auto"/>
        </w:rPr>
      </w:pPr>
    </w:p>
    <w:p w14:paraId="03869FCD" w14:textId="04BF93A2" w:rsidR="00891D85" w:rsidRDefault="00B0165F" w:rsidP="003539E5">
      <w:pPr>
        <w:pStyle w:val="Pa8"/>
        <w:numPr>
          <w:ilvl w:val="0"/>
          <w:numId w:val="13"/>
        </w:numPr>
        <w:jc w:val="both"/>
        <w:rPr>
          <w:rFonts w:ascii="Times New Roman" w:hAnsi="Times New Roman" w:cs="Times New Roman"/>
        </w:rPr>
      </w:pPr>
      <w:r w:rsidRPr="00B0165F">
        <w:rPr>
          <w:rFonts w:ascii="Times New Roman" w:hAnsi="Times New Roman" w:cs="Times New Roman"/>
        </w:rPr>
        <w:t xml:space="preserve">Územní samosprávný celek a svazek obcí může přijímat nebo poskytovat zálohy na věcná plnění smluv, která se uskuteční až v následujícím roce. </w:t>
      </w:r>
      <w:r w:rsidR="003539E5" w:rsidRPr="003539E5">
        <w:rPr>
          <w:rFonts w:ascii="Times New Roman" w:hAnsi="Times New Roman" w:cs="Times New Roman"/>
        </w:rPr>
        <w:t>P</w:t>
      </w:r>
      <w:r w:rsidR="003539E5" w:rsidRPr="003539E5">
        <w:rPr>
          <w:rStyle w:val="Siln"/>
          <w:rFonts w:ascii="Times New Roman" w:hAnsi="Times New Roman" w:cs="Times New Roman"/>
          <w:b w:val="0"/>
          <w:bCs w:val="0"/>
        </w:rPr>
        <w:t>ři třídění</w:t>
      </w:r>
      <w:r w:rsidR="003539E5">
        <w:rPr>
          <w:rStyle w:val="Siln"/>
          <w:rFonts w:ascii="Times New Roman" w:hAnsi="Times New Roman" w:cs="Times New Roman"/>
          <w:b w:val="0"/>
          <w:bCs w:val="0"/>
        </w:rPr>
        <w:t xml:space="preserve"> rozpočtovou skladbou</w:t>
      </w:r>
      <w:r w:rsidR="003539E5" w:rsidRPr="003539E5">
        <w:rPr>
          <w:rStyle w:val="Siln"/>
          <w:rFonts w:ascii="Times New Roman" w:hAnsi="Times New Roman" w:cs="Times New Roman"/>
          <w:b w:val="0"/>
          <w:bCs w:val="0"/>
        </w:rPr>
        <w:t xml:space="preserve"> neřešíme vazbu na uskutečněné plnění, třídíme výdaje na zálohy, doplatky, splátky</w:t>
      </w:r>
      <w:r w:rsidR="003539E5" w:rsidRPr="003539E5">
        <w:rPr>
          <w:rFonts w:ascii="Times New Roman" w:hAnsi="Times New Roman" w:cs="Times New Roman"/>
        </w:rPr>
        <w:t xml:space="preserve"> vždy jen </w:t>
      </w:r>
      <w:r w:rsidR="003539E5" w:rsidRPr="003539E5">
        <w:rPr>
          <w:rFonts w:ascii="Times New Roman" w:hAnsi="Times New Roman" w:cs="Times New Roman"/>
        </w:rPr>
        <w:lastRenderedPageBreak/>
        <w:t xml:space="preserve">dle druhu výdaje nebo příjmu. Pokud u výdajů neznáme druh výdaje </w:t>
      </w:r>
      <w:r w:rsidR="003539E5">
        <w:rPr>
          <w:rFonts w:ascii="Times New Roman" w:hAnsi="Times New Roman" w:cs="Times New Roman"/>
        </w:rPr>
        <w:t xml:space="preserve">např. </w:t>
      </w:r>
      <w:r w:rsidR="003539E5" w:rsidRPr="003539E5">
        <w:rPr>
          <w:rFonts w:ascii="Times New Roman" w:hAnsi="Times New Roman" w:cs="Times New Roman"/>
        </w:rPr>
        <w:t xml:space="preserve">v případě zálohy, zvolíme položku 5199. </w:t>
      </w:r>
    </w:p>
    <w:p w14:paraId="448F4ED2" w14:textId="77777777" w:rsidR="0022465C" w:rsidRPr="0022465C" w:rsidRDefault="0022465C" w:rsidP="0022465C">
      <w:pPr>
        <w:pStyle w:val="Default"/>
      </w:pPr>
    </w:p>
    <w:p w14:paraId="6ECD8473" w14:textId="4261C21A" w:rsidR="003539E5" w:rsidRPr="0022465C" w:rsidRDefault="00B0165F" w:rsidP="0022465C">
      <w:pPr>
        <w:pStyle w:val="Odstavecseseznamem"/>
        <w:numPr>
          <w:ilvl w:val="0"/>
          <w:numId w:val="13"/>
        </w:numPr>
        <w:spacing w:after="80"/>
        <w:jc w:val="both"/>
        <w:rPr>
          <w:bCs/>
        </w:rPr>
      </w:pPr>
      <w:r w:rsidRPr="0022465C">
        <w:t>Rozpočtová skladba příjmy a výdaje časově nerozlišuje, všímá si jen druhu plnění.</w:t>
      </w:r>
      <w:r w:rsidR="003539E5" w:rsidRPr="0022465C">
        <w:rPr>
          <w:b/>
          <w:i/>
          <w:iCs/>
          <w:color w:val="0070C0"/>
        </w:rPr>
        <w:t xml:space="preserve"> </w:t>
      </w:r>
      <w:r w:rsidR="003539E5" w:rsidRPr="0022465C">
        <w:rPr>
          <w:b/>
        </w:rPr>
        <w:t>Příklad:</w:t>
      </w:r>
      <w:r w:rsidR="003539E5" w:rsidRPr="0022465C">
        <w:rPr>
          <w:bCs/>
        </w:rPr>
        <w:t xml:space="preserve"> Když se přijmou peníze za nájem najednou na 6 let dopředu, bude v roce příjmu celý zaúčtován na položku dle druhu příjmu (např. 2132).  </w:t>
      </w:r>
    </w:p>
    <w:p w14:paraId="04147DE5" w14:textId="5D5F105C" w:rsidR="00946652" w:rsidRPr="00CF5F72" w:rsidRDefault="00946652" w:rsidP="0022465C">
      <w:pPr>
        <w:pStyle w:val="Odstavecseseznamem"/>
        <w:autoSpaceDE w:val="0"/>
        <w:adjustRightInd w:val="0"/>
        <w:ind w:left="180"/>
        <w:rPr>
          <w:color w:val="000000"/>
        </w:rPr>
      </w:pPr>
    </w:p>
    <w:p w14:paraId="078263AF" w14:textId="77777777" w:rsidR="004102E5" w:rsidRDefault="004102E5" w:rsidP="00E8226D">
      <w:pPr>
        <w:autoSpaceDE w:val="0"/>
        <w:autoSpaceDN w:val="0"/>
        <w:adjustRightInd w:val="0"/>
        <w:spacing w:before="40" w:after="0" w:line="221" w:lineRule="atLeast"/>
        <w:rPr>
          <w:rFonts w:ascii="Times New Roman" w:hAnsi="Times New Roman" w:cs="Times New Roman"/>
          <w:b/>
          <w:bCs/>
          <w:sz w:val="24"/>
          <w:szCs w:val="24"/>
        </w:rPr>
      </w:pPr>
    </w:p>
    <w:p w14:paraId="1B3398D0" w14:textId="19A91B20" w:rsidR="00E8226D" w:rsidRPr="00052441" w:rsidRDefault="00E8226D" w:rsidP="00F00CFC">
      <w:pPr>
        <w:pStyle w:val="Nadpis3"/>
      </w:pPr>
      <w:bookmarkStart w:id="31" w:name="_Toc94609624"/>
      <w:r w:rsidRPr="00052441">
        <w:t>Výběr z obecných z</w:t>
      </w:r>
      <w:r w:rsidR="00946652" w:rsidRPr="00946652">
        <w:t xml:space="preserve">ásad pro třídění </w:t>
      </w:r>
      <w:r w:rsidRPr="00052441">
        <w:t xml:space="preserve">výdajů </w:t>
      </w:r>
      <w:r w:rsidR="00946652" w:rsidRPr="00946652">
        <w:t>na položky v třídě 5:</w:t>
      </w:r>
      <w:bookmarkEnd w:id="31"/>
      <w:r w:rsidR="00946652" w:rsidRPr="00946652">
        <w:t xml:space="preserve"> </w:t>
      </w:r>
    </w:p>
    <w:p w14:paraId="542C0A32" w14:textId="77777777" w:rsidR="0022465C" w:rsidRDefault="0022465C" w:rsidP="004102E5">
      <w:pPr>
        <w:autoSpaceDE w:val="0"/>
        <w:autoSpaceDN w:val="0"/>
        <w:adjustRightInd w:val="0"/>
        <w:spacing w:before="40" w:after="0" w:line="221" w:lineRule="atLeast"/>
        <w:rPr>
          <w:rFonts w:ascii="Times New Roman" w:hAnsi="Times New Roman" w:cs="Times New Roman"/>
          <w:sz w:val="24"/>
          <w:szCs w:val="24"/>
        </w:rPr>
      </w:pPr>
    </w:p>
    <w:p w14:paraId="4157F26E" w14:textId="2255E482" w:rsidR="004102E5" w:rsidRPr="00A252A9" w:rsidRDefault="004102E5" w:rsidP="004102E5">
      <w:pPr>
        <w:autoSpaceDE w:val="0"/>
        <w:autoSpaceDN w:val="0"/>
        <w:adjustRightInd w:val="0"/>
        <w:spacing w:before="40" w:after="0" w:line="221" w:lineRule="atLeast"/>
        <w:rPr>
          <w:rFonts w:ascii="Times New Roman" w:hAnsi="Times New Roman" w:cs="Times New Roman"/>
          <w:i/>
          <w:iCs/>
          <w:sz w:val="24"/>
          <w:szCs w:val="24"/>
        </w:rPr>
      </w:pPr>
      <w:r w:rsidRPr="004102E5">
        <w:rPr>
          <w:rFonts w:ascii="Times New Roman" w:hAnsi="Times New Roman" w:cs="Times New Roman"/>
          <w:sz w:val="24"/>
          <w:szCs w:val="24"/>
        </w:rPr>
        <w:t>Zde uvádíme přehled dalších zásad především při třídění výdajů, jedná se o značnou část pokynu</w:t>
      </w:r>
      <w:r w:rsidR="00A252A9">
        <w:rPr>
          <w:rFonts w:ascii="Times New Roman" w:hAnsi="Times New Roman" w:cs="Times New Roman"/>
          <w:sz w:val="24"/>
          <w:szCs w:val="24"/>
        </w:rPr>
        <w:t xml:space="preserve"> </w:t>
      </w:r>
      <w:r w:rsidR="00891D85">
        <w:rPr>
          <w:rFonts w:ascii="Times New Roman" w:hAnsi="Times New Roman" w:cs="Times New Roman"/>
          <w:sz w:val="24"/>
          <w:szCs w:val="24"/>
        </w:rPr>
        <w:t>v </w:t>
      </w:r>
      <w:r w:rsidR="00A252A9">
        <w:rPr>
          <w:rFonts w:ascii="Times New Roman" w:hAnsi="Times New Roman" w:cs="Times New Roman"/>
          <w:sz w:val="24"/>
          <w:szCs w:val="24"/>
        </w:rPr>
        <w:t>části</w:t>
      </w:r>
      <w:r w:rsidR="00891D85">
        <w:rPr>
          <w:rFonts w:ascii="Times New Roman" w:hAnsi="Times New Roman" w:cs="Times New Roman"/>
          <w:sz w:val="24"/>
          <w:szCs w:val="24"/>
        </w:rPr>
        <w:t xml:space="preserve"> obecných</w:t>
      </w:r>
      <w:r w:rsidR="00A252A9">
        <w:rPr>
          <w:rFonts w:ascii="Times New Roman" w:hAnsi="Times New Roman" w:cs="Times New Roman"/>
          <w:sz w:val="24"/>
          <w:szCs w:val="24"/>
        </w:rPr>
        <w:t xml:space="preserve"> zásad</w:t>
      </w:r>
      <w:r w:rsidRPr="004102E5">
        <w:rPr>
          <w:rFonts w:ascii="Times New Roman" w:hAnsi="Times New Roman" w:cs="Times New Roman"/>
          <w:sz w:val="24"/>
          <w:szCs w:val="24"/>
        </w:rPr>
        <w:t>, některé z těchto zásad se v pokynu opakují i v několika odstavcích s malými rozdíly.</w:t>
      </w:r>
      <w:r w:rsidRPr="004102E5">
        <w:rPr>
          <w:rFonts w:ascii="Minion Pro" w:hAnsi="Minion Pro"/>
          <w:b/>
          <w:bCs/>
          <w:i/>
          <w:iCs/>
        </w:rPr>
        <w:t xml:space="preserve"> </w:t>
      </w:r>
      <w:r w:rsidR="00A252A9" w:rsidRPr="00A252A9">
        <w:rPr>
          <w:rFonts w:ascii="Times New Roman" w:hAnsi="Times New Roman" w:cs="Times New Roman"/>
          <w:i/>
          <w:iCs/>
          <w:sz w:val="24"/>
          <w:szCs w:val="24"/>
        </w:rPr>
        <w:t xml:space="preserve">Pozn. Zásady jsou </w:t>
      </w:r>
      <w:r w:rsidR="00A252A9">
        <w:rPr>
          <w:rFonts w:ascii="Times New Roman" w:hAnsi="Times New Roman" w:cs="Times New Roman"/>
          <w:i/>
          <w:iCs/>
          <w:sz w:val="24"/>
          <w:szCs w:val="24"/>
        </w:rPr>
        <w:t xml:space="preserve">oproti pokynu </w:t>
      </w:r>
      <w:r w:rsidR="00A252A9" w:rsidRPr="00A252A9">
        <w:rPr>
          <w:rFonts w:ascii="Times New Roman" w:hAnsi="Times New Roman" w:cs="Times New Roman"/>
          <w:i/>
          <w:iCs/>
          <w:sz w:val="24"/>
          <w:szCs w:val="24"/>
        </w:rPr>
        <w:t xml:space="preserve">textově upraveny. </w:t>
      </w:r>
    </w:p>
    <w:p w14:paraId="1CC3C9CB" w14:textId="77777777" w:rsidR="00530EE2" w:rsidRPr="00530EE2" w:rsidRDefault="00530EE2" w:rsidP="00530EE2">
      <w:pPr>
        <w:autoSpaceDE w:val="0"/>
        <w:autoSpaceDN w:val="0"/>
        <w:adjustRightInd w:val="0"/>
        <w:spacing w:after="0" w:line="240" w:lineRule="auto"/>
        <w:rPr>
          <w:rFonts w:ascii="Minion Pro" w:hAnsi="Minion Pro" w:cs="Minion Pro"/>
          <w:color w:val="000000"/>
          <w:sz w:val="24"/>
          <w:szCs w:val="24"/>
        </w:rPr>
      </w:pPr>
    </w:p>
    <w:p w14:paraId="1E212280" w14:textId="0B6811CA" w:rsidR="00530EE2" w:rsidRPr="004102E5" w:rsidRDefault="00530EE2" w:rsidP="004102E5">
      <w:pPr>
        <w:pStyle w:val="Odstavecseseznamem"/>
        <w:numPr>
          <w:ilvl w:val="0"/>
          <w:numId w:val="11"/>
        </w:numPr>
        <w:autoSpaceDE w:val="0"/>
        <w:adjustRightInd w:val="0"/>
        <w:spacing w:line="221" w:lineRule="atLeast"/>
        <w:jc w:val="both"/>
      </w:pPr>
      <w:r w:rsidRPr="004102E5">
        <w:t xml:space="preserve">Důsledně rozlišovat nákupy (50, 51) a transfery (52-57) </w:t>
      </w:r>
    </w:p>
    <w:p w14:paraId="50A31433" w14:textId="1F8AD0C0" w:rsidR="00530EE2" w:rsidRDefault="00530EE2" w:rsidP="00530EE2">
      <w:pPr>
        <w:autoSpaceDE w:val="0"/>
        <w:autoSpaceDN w:val="0"/>
        <w:adjustRightInd w:val="0"/>
        <w:spacing w:after="0" w:line="221" w:lineRule="atLeast"/>
        <w:jc w:val="both"/>
        <w:rPr>
          <w:rFonts w:ascii="Times New Roman" w:hAnsi="Times New Roman" w:cs="Times New Roman"/>
          <w:sz w:val="24"/>
          <w:szCs w:val="24"/>
        </w:rPr>
      </w:pPr>
    </w:p>
    <w:p w14:paraId="7835535A" w14:textId="2B77283F" w:rsidR="00530EE2" w:rsidRPr="004102E5" w:rsidRDefault="00530EE2" w:rsidP="004102E5">
      <w:pPr>
        <w:pStyle w:val="Odstavecseseznamem"/>
        <w:numPr>
          <w:ilvl w:val="0"/>
          <w:numId w:val="11"/>
        </w:numPr>
        <w:autoSpaceDE w:val="0"/>
        <w:adjustRightInd w:val="0"/>
        <w:spacing w:line="221" w:lineRule="atLeast"/>
        <w:jc w:val="both"/>
      </w:pPr>
      <w:r w:rsidRPr="004102E5">
        <w:t>Nerozlišujeme důvod, proč hradíme, (např. z rozhodnutí soudu je faktura uzná</w:t>
      </w:r>
      <w:r w:rsidRPr="004102E5">
        <w:softHyphen/>
        <w:t xml:space="preserve">na jako platná), ale položku určíme podle toho, co hradíme (např. uznaná faktura soudem se týkala spotřeby energií). </w:t>
      </w:r>
    </w:p>
    <w:p w14:paraId="1A224AF8" w14:textId="77777777" w:rsidR="00530EE2" w:rsidRDefault="00530EE2" w:rsidP="00530EE2">
      <w:pPr>
        <w:autoSpaceDE w:val="0"/>
        <w:autoSpaceDN w:val="0"/>
        <w:adjustRightInd w:val="0"/>
        <w:spacing w:after="0" w:line="221" w:lineRule="atLeast"/>
        <w:jc w:val="both"/>
        <w:rPr>
          <w:rFonts w:ascii="Times New Roman" w:hAnsi="Times New Roman" w:cs="Times New Roman"/>
          <w:sz w:val="24"/>
          <w:szCs w:val="24"/>
        </w:rPr>
      </w:pPr>
    </w:p>
    <w:p w14:paraId="30CB8F25" w14:textId="6D9577D0" w:rsidR="00530EE2" w:rsidRPr="004102E5" w:rsidRDefault="00530EE2" w:rsidP="004102E5">
      <w:pPr>
        <w:pStyle w:val="Odstavecseseznamem"/>
        <w:numPr>
          <w:ilvl w:val="0"/>
          <w:numId w:val="11"/>
        </w:numPr>
        <w:autoSpaceDE w:val="0"/>
        <w:adjustRightInd w:val="0"/>
        <w:spacing w:line="221" w:lineRule="atLeast"/>
        <w:jc w:val="both"/>
      </w:pPr>
      <w:r w:rsidRPr="004102E5">
        <w:t xml:space="preserve">U nákupů nás nezajímá, jak dodavatel kalkuloval cenu služby nebo výrobku (zda do ní započítal a vyčíslil na faktuře poštovné, dopravné, balné, montáž), ale volíme položku podle druhu věci, služby nebo výkonu. </w:t>
      </w:r>
    </w:p>
    <w:p w14:paraId="03B4F20B" w14:textId="77777777" w:rsidR="00530EE2" w:rsidRDefault="00530EE2" w:rsidP="00530EE2">
      <w:pPr>
        <w:autoSpaceDE w:val="0"/>
        <w:autoSpaceDN w:val="0"/>
        <w:adjustRightInd w:val="0"/>
        <w:spacing w:after="0" w:line="221" w:lineRule="atLeast"/>
        <w:jc w:val="both"/>
        <w:rPr>
          <w:rFonts w:ascii="Times New Roman" w:hAnsi="Times New Roman" w:cs="Times New Roman"/>
          <w:sz w:val="24"/>
          <w:szCs w:val="24"/>
        </w:rPr>
      </w:pPr>
    </w:p>
    <w:p w14:paraId="3A915DC9" w14:textId="77777777" w:rsidR="00CF5F72" w:rsidRPr="00CF5F72" w:rsidRDefault="00530EE2" w:rsidP="00CF5F72">
      <w:pPr>
        <w:pStyle w:val="Odstavecseseznamem"/>
        <w:numPr>
          <w:ilvl w:val="0"/>
          <w:numId w:val="11"/>
        </w:numPr>
        <w:autoSpaceDE w:val="0"/>
        <w:adjustRightInd w:val="0"/>
        <w:spacing w:after="80" w:line="221" w:lineRule="atLeast"/>
        <w:jc w:val="both"/>
        <w:rPr>
          <w:i/>
          <w:iCs/>
          <w:color w:val="0070C0"/>
        </w:rPr>
      </w:pPr>
      <w:r w:rsidRPr="004102E5">
        <w:t>U nákupu volíme jednu položku pro jeden výdaj, pokud se nejedná o souhrnné faktury, volíme položku podle hlavního druhu výdaje nebo pokud z dokladu pří</w:t>
      </w:r>
      <w:r w:rsidRPr="004102E5">
        <w:softHyphen/>
        <w:t xml:space="preserve">mo nevyplývá, tak podle záměru účetní jednotky. </w:t>
      </w:r>
    </w:p>
    <w:p w14:paraId="0C3F4434" w14:textId="4B723AD8" w:rsidR="00530EE2" w:rsidRPr="00CF5F72" w:rsidRDefault="00CF5F72" w:rsidP="00CF5F72">
      <w:pPr>
        <w:pStyle w:val="Odstavecseseznamem"/>
        <w:autoSpaceDE w:val="0"/>
        <w:adjustRightInd w:val="0"/>
        <w:spacing w:after="80" w:line="221" w:lineRule="atLeast"/>
        <w:jc w:val="both"/>
        <w:rPr>
          <w:i/>
          <w:iCs/>
        </w:rPr>
      </w:pPr>
      <w:r w:rsidRPr="00CF5F72">
        <w:rPr>
          <w:i/>
          <w:iCs/>
        </w:rPr>
        <w:t xml:space="preserve">Pro třídění jednoho výdaje se volí převažující druh plnění. Neměli bychom však toto pravidlo brát jako dogma. Může dojít k jednomu výdaji např. na základě tzv. souhrnné fakturace (Technické služby vyfakturují na jedné faktuře za celý měsíc svoz odpadů, péči o zeleň, péči o veřejné osvětlení…), pak je rozdělení jednoho výdaje dle účelu a druhů výdaje přínosné. </w:t>
      </w:r>
      <w:r w:rsidRPr="00CF5F72">
        <w:rPr>
          <w:b/>
          <w:bCs/>
          <w:i/>
          <w:iCs/>
        </w:rPr>
        <w:t>Pozn</w:t>
      </w:r>
      <w:r w:rsidRPr="00CF5F72">
        <w:rPr>
          <w:i/>
          <w:iCs/>
        </w:rPr>
        <w:t xml:space="preserve">. V případě, že Technické služby by byly příspěvkovou organizací, nemusíme příspěvek třídit dle účelů, ale volíme tzv. jeden kmenový paragraf pro příspěvkovou organizaci jako celek (jedná se o postup, který byl v historii určen v opatřeních MF k rozpočtové skladbě). </w:t>
      </w:r>
      <w:r w:rsidR="00530EE2" w:rsidRPr="00CF5F72">
        <w:rPr>
          <w:color w:val="FF0000"/>
        </w:rPr>
        <w:t xml:space="preserve"> </w:t>
      </w:r>
    </w:p>
    <w:p w14:paraId="0856401B" w14:textId="77777777" w:rsidR="00530EE2" w:rsidRDefault="00530EE2" w:rsidP="00530EE2">
      <w:pPr>
        <w:autoSpaceDE w:val="0"/>
        <w:autoSpaceDN w:val="0"/>
        <w:adjustRightInd w:val="0"/>
        <w:spacing w:after="0" w:line="221" w:lineRule="atLeast"/>
        <w:jc w:val="both"/>
        <w:rPr>
          <w:rFonts w:ascii="Times New Roman" w:hAnsi="Times New Roman" w:cs="Times New Roman"/>
          <w:sz w:val="24"/>
          <w:szCs w:val="24"/>
        </w:rPr>
      </w:pPr>
    </w:p>
    <w:p w14:paraId="7228367C" w14:textId="4CA32091" w:rsidR="00530EE2" w:rsidRPr="004102E5" w:rsidRDefault="00530EE2" w:rsidP="004102E5">
      <w:pPr>
        <w:pStyle w:val="Odstavecseseznamem"/>
        <w:numPr>
          <w:ilvl w:val="0"/>
          <w:numId w:val="11"/>
        </w:numPr>
        <w:autoSpaceDE w:val="0"/>
        <w:adjustRightInd w:val="0"/>
        <w:spacing w:line="221" w:lineRule="atLeast"/>
        <w:jc w:val="both"/>
      </w:pPr>
      <w:r w:rsidRPr="004102E5">
        <w:t>Položku transferu nevolíme podle toho, co posíláme (příspěvek, grant, dar, dota</w:t>
      </w:r>
      <w:r w:rsidRPr="004102E5">
        <w:softHyphen/>
        <w:t xml:space="preserve">ci), ale podle toho, kdo je příjemcem. </w:t>
      </w:r>
    </w:p>
    <w:p w14:paraId="653A8F23" w14:textId="77777777" w:rsidR="00530EE2" w:rsidRDefault="00530EE2" w:rsidP="00530EE2">
      <w:pPr>
        <w:autoSpaceDE w:val="0"/>
        <w:autoSpaceDN w:val="0"/>
        <w:adjustRightInd w:val="0"/>
        <w:spacing w:after="0" w:line="221" w:lineRule="atLeast"/>
        <w:jc w:val="both"/>
        <w:rPr>
          <w:rFonts w:ascii="Times New Roman" w:hAnsi="Times New Roman" w:cs="Times New Roman"/>
          <w:sz w:val="24"/>
          <w:szCs w:val="24"/>
        </w:rPr>
      </w:pPr>
    </w:p>
    <w:p w14:paraId="0BBF2AB6" w14:textId="23B8CA07" w:rsidR="00530EE2" w:rsidRPr="004102E5" w:rsidRDefault="00530EE2" w:rsidP="004102E5">
      <w:pPr>
        <w:pStyle w:val="Odstavecseseznamem"/>
        <w:numPr>
          <w:ilvl w:val="0"/>
          <w:numId w:val="11"/>
        </w:numPr>
        <w:autoSpaceDE w:val="0"/>
        <w:adjustRightInd w:val="0"/>
        <w:spacing w:line="221" w:lineRule="atLeast"/>
        <w:jc w:val="both"/>
      </w:pPr>
      <w:r w:rsidRPr="004102E5">
        <w:t xml:space="preserve">zařazení rozhoduje skutečný obsah nákupu nebo transferu, ne forma dokladu (např. nesprávný typ smlouvy). </w:t>
      </w:r>
    </w:p>
    <w:p w14:paraId="2C5EC0F3" w14:textId="77777777" w:rsidR="00530EE2" w:rsidRDefault="00530EE2" w:rsidP="00530EE2">
      <w:pPr>
        <w:autoSpaceDE w:val="0"/>
        <w:autoSpaceDN w:val="0"/>
        <w:adjustRightInd w:val="0"/>
        <w:spacing w:after="0" w:line="221" w:lineRule="atLeast"/>
        <w:jc w:val="both"/>
        <w:rPr>
          <w:rFonts w:ascii="Times New Roman" w:hAnsi="Times New Roman" w:cs="Times New Roman"/>
          <w:sz w:val="24"/>
          <w:szCs w:val="24"/>
        </w:rPr>
      </w:pPr>
    </w:p>
    <w:p w14:paraId="1931C276" w14:textId="40A138ED" w:rsidR="00530EE2" w:rsidRPr="004102E5" w:rsidRDefault="00530EE2" w:rsidP="004102E5">
      <w:pPr>
        <w:pStyle w:val="Odstavecseseznamem"/>
        <w:numPr>
          <w:ilvl w:val="0"/>
          <w:numId w:val="11"/>
        </w:numPr>
        <w:autoSpaceDE w:val="0"/>
        <w:adjustRightInd w:val="0"/>
        <w:spacing w:before="40" w:after="40" w:line="221" w:lineRule="atLeast"/>
        <w:jc w:val="both"/>
      </w:pPr>
      <w:r w:rsidRPr="004102E5">
        <w:t>U výdajů na nákupy (seskupení položek 50, 51, 59, 61, 62 a 69) nerozhoduje, jsou-li prováděny ve prospěch tuzemských nebo zahraničních osob. Výjimkou jsou člen</w:t>
      </w:r>
      <w:r w:rsidRPr="004102E5">
        <w:softHyphen/>
        <w:t>ské příspěvky a podobné platby zahraničním právnickým osobám, jejichž proti</w:t>
      </w:r>
      <w:r w:rsidRPr="004102E5">
        <w:softHyphen/>
        <w:t xml:space="preserve">hodnotou jsou členská práva; tyto výdaje místo na položku 5179 patří na položky z podseskupení položek 55. </w:t>
      </w:r>
    </w:p>
    <w:p w14:paraId="351BF9C4" w14:textId="77777777" w:rsidR="00530EE2" w:rsidRDefault="00530EE2" w:rsidP="00530EE2">
      <w:pPr>
        <w:autoSpaceDE w:val="0"/>
        <w:autoSpaceDN w:val="0"/>
        <w:adjustRightInd w:val="0"/>
        <w:spacing w:before="40" w:after="20" w:line="221" w:lineRule="atLeast"/>
        <w:jc w:val="both"/>
        <w:rPr>
          <w:rFonts w:ascii="Times New Roman" w:hAnsi="Times New Roman" w:cs="Times New Roman"/>
          <w:sz w:val="24"/>
          <w:szCs w:val="24"/>
        </w:rPr>
      </w:pPr>
    </w:p>
    <w:p w14:paraId="24FDEEA1" w14:textId="19B5ED40"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lastRenderedPageBreak/>
        <w:t xml:space="preserve">Pro běžné i kapitálové výdaje platí, že jejich zařazení na položku nezávisí na tom, byl-li výdaj oprávněný nebo neoprávněný. </w:t>
      </w:r>
    </w:p>
    <w:p w14:paraId="1F0C56AB" w14:textId="77777777" w:rsidR="00530EE2" w:rsidRDefault="00530EE2" w:rsidP="00530EE2">
      <w:pPr>
        <w:autoSpaceDE w:val="0"/>
        <w:autoSpaceDN w:val="0"/>
        <w:adjustRightInd w:val="0"/>
        <w:spacing w:before="40" w:after="20" w:line="221" w:lineRule="atLeast"/>
        <w:jc w:val="both"/>
        <w:rPr>
          <w:rFonts w:ascii="Times New Roman" w:hAnsi="Times New Roman" w:cs="Times New Roman"/>
          <w:sz w:val="24"/>
          <w:szCs w:val="24"/>
        </w:rPr>
      </w:pPr>
    </w:p>
    <w:p w14:paraId="3CB84E16" w14:textId="060C4053"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t>Pro běžné i kapitálové výdaje na pořízení hodnot též platí, že jejich zařaze</w:t>
      </w:r>
      <w:r w:rsidRPr="004102E5">
        <w:softHyphen/>
        <w:t>ní na položku nezávisí na tom, byla-li smlouva, podle níž druhá strana poskyt</w:t>
      </w:r>
      <w:r w:rsidRPr="004102E5">
        <w:softHyphen/>
        <w:t xml:space="preserve">ne věci, služby, práce, výkony nebo práva a organizace za ně zaplatí, uzavřena ve prospěch organizace nebo třetí strany (§ 1767 a 1768 občanského zákoníku). </w:t>
      </w:r>
    </w:p>
    <w:p w14:paraId="269AB840" w14:textId="77777777" w:rsidR="00530EE2" w:rsidRDefault="00530EE2" w:rsidP="00530EE2">
      <w:pPr>
        <w:autoSpaceDE w:val="0"/>
        <w:autoSpaceDN w:val="0"/>
        <w:adjustRightInd w:val="0"/>
        <w:spacing w:before="40" w:after="20" w:line="221" w:lineRule="atLeast"/>
        <w:jc w:val="both"/>
        <w:rPr>
          <w:rFonts w:ascii="Times New Roman" w:hAnsi="Times New Roman" w:cs="Times New Roman"/>
          <w:sz w:val="24"/>
          <w:szCs w:val="24"/>
        </w:rPr>
      </w:pPr>
    </w:p>
    <w:p w14:paraId="0598734B" w14:textId="6051363D"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t xml:space="preserve">Při zařazování výdajů na pořízení hodnot na položku nerozhoduje ani to, zda cena se platí předem nebo až po dodávce, najednou nebo ve splátkách. </w:t>
      </w:r>
    </w:p>
    <w:p w14:paraId="5D3B3E79" w14:textId="77777777" w:rsidR="00530EE2" w:rsidRDefault="00530EE2" w:rsidP="00530EE2">
      <w:pPr>
        <w:autoSpaceDE w:val="0"/>
        <w:autoSpaceDN w:val="0"/>
        <w:adjustRightInd w:val="0"/>
        <w:spacing w:before="40" w:after="20" w:line="221" w:lineRule="atLeast"/>
        <w:jc w:val="both"/>
        <w:rPr>
          <w:rFonts w:ascii="Times New Roman" w:hAnsi="Times New Roman" w:cs="Times New Roman"/>
          <w:sz w:val="24"/>
          <w:szCs w:val="24"/>
        </w:rPr>
      </w:pPr>
    </w:p>
    <w:p w14:paraId="4EB481D1" w14:textId="2FEFF1F6"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t>Zařazení na položku se řídí druhem pořizované hodnoty s výjimkou výdajů na platby daně z přidané hodnoty, kdy organizace, která je plátcem daně z při</w:t>
      </w:r>
      <w:r w:rsidRPr="004102E5">
        <w:softHyphen/>
        <w:t xml:space="preserve">dané hodnoty jakožto odběratel (tj. v případě přenesené daňové povinnosti, nebo reverse </w:t>
      </w:r>
      <w:proofErr w:type="spellStart"/>
      <w:r w:rsidRPr="004102E5">
        <w:t>charge</w:t>
      </w:r>
      <w:proofErr w:type="spellEnd"/>
      <w:r w:rsidRPr="004102E5">
        <w:t xml:space="preserve">), </w:t>
      </w:r>
      <w:r w:rsidRPr="004102E5">
        <w:rPr>
          <w:b/>
          <w:bCs/>
        </w:rPr>
        <w:t>může rozhodnout,</w:t>
      </w:r>
      <w:r w:rsidRPr="004102E5">
        <w:t xml:space="preserve"> že platby této daně místo na položku 5362 se budou zařazovat na položku, na niž patří výdaj za dodanou hodnotu. </w:t>
      </w:r>
    </w:p>
    <w:p w14:paraId="23224988" w14:textId="77777777" w:rsidR="004102E5" w:rsidRPr="00530EE2" w:rsidRDefault="004102E5" w:rsidP="00530EE2">
      <w:pPr>
        <w:autoSpaceDE w:val="0"/>
        <w:autoSpaceDN w:val="0"/>
        <w:adjustRightInd w:val="0"/>
        <w:spacing w:before="40" w:after="20" w:line="221" w:lineRule="atLeast"/>
        <w:jc w:val="both"/>
        <w:rPr>
          <w:rFonts w:ascii="Times New Roman" w:hAnsi="Times New Roman" w:cs="Times New Roman"/>
          <w:sz w:val="24"/>
          <w:szCs w:val="24"/>
        </w:rPr>
      </w:pPr>
    </w:p>
    <w:p w14:paraId="7495ED5F" w14:textId="5179AE99"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t>Jestliže při pořizování majetku odvisí zařazení výdaje na jeho pořízení na po</w:t>
      </w:r>
      <w:r w:rsidRPr="004102E5">
        <w:softHyphen/>
        <w:t xml:space="preserve">ložku od jeho velikosti </w:t>
      </w:r>
      <w:r w:rsidR="004102E5" w:rsidRPr="004102E5">
        <w:t xml:space="preserve">(např. dlouhodobý hmotný majetek – movitý od 40 tis. Kč) </w:t>
      </w:r>
      <w:r w:rsidRPr="004102E5">
        <w:t>a pokud se tento výdaj se neprovádí jednou platbou, roz</w:t>
      </w:r>
      <w:r w:rsidRPr="004102E5">
        <w:softHyphen/>
        <w:t xml:space="preserve">hoduje výdaj celkový (úhrn splátek). Totéž platí při platbách pozastávek, volíme položku, ke které se pozastávka vztahovala. </w:t>
      </w:r>
    </w:p>
    <w:p w14:paraId="3C444FCD" w14:textId="77777777" w:rsidR="00530EE2" w:rsidRDefault="00530EE2" w:rsidP="00530EE2">
      <w:pPr>
        <w:autoSpaceDE w:val="0"/>
        <w:autoSpaceDN w:val="0"/>
        <w:adjustRightInd w:val="0"/>
        <w:spacing w:before="40" w:after="20" w:line="221" w:lineRule="atLeast"/>
        <w:jc w:val="both"/>
        <w:rPr>
          <w:rFonts w:ascii="Times New Roman" w:hAnsi="Times New Roman" w:cs="Times New Roman"/>
          <w:sz w:val="24"/>
          <w:szCs w:val="24"/>
        </w:rPr>
      </w:pPr>
    </w:p>
    <w:p w14:paraId="36C05C4F" w14:textId="64CA3446"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t>Při zařazování výdaje na položku rozhoduje právní stav ze dne provedení vý</w:t>
      </w:r>
      <w:r w:rsidRPr="004102E5">
        <w:softHyphen/>
        <w:t>daje. Právní skutečnosti nastalé později nemohou mít za následek přeřazení výda</w:t>
      </w:r>
      <w:r w:rsidRPr="004102E5">
        <w:softHyphen/>
        <w:t>je na jinou položku. Nemůže-li organizace všechny potřebné informace o právním stavu ze dne provedení výdaje získat ani s vynaložením úsilí, které po ní lze ro</w:t>
      </w:r>
      <w:r w:rsidRPr="004102E5">
        <w:softHyphen/>
        <w:t>zumně požadovat, například informace o tom, jaká hodnota ve skupině pořizova</w:t>
      </w:r>
      <w:r w:rsidRPr="004102E5">
        <w:softHyphen/>
        <w:t xml:space="preserve">ných hodnot převažuje (odstavec 3), organizace stav odhadne. </w:t>
      </w:r>
    </w:p>
    <w:p w14:paraId="039EDDFB" w14:textId="0C7B24CA" w:rsidR="00A252A9" w:rsidRPr="00A252A9" w:rsidRDefault="00A252A9" w:rsidP="00A252A9">
      <w:pPr>
        <w:pStyle w:val="Odstavecseseznamem"/>
        <w:spacing w:after="80"/>
        <w:jc w:val="both"/>
        <w:rPr>
          <w:i/>
          <w:iCs/>
        </w:rPr>
      </w:pPr>
      <w:r w:rsidRPr="00A252A9">
        <w:rPr>
          <w:i/>
          <w:iCs/>
        </w:rPr>
        <w:t>Například volíme položku pro opravu (5171) a až následně se zjistí, že se jedná o technické zhodnocení (např. správně je po zjištění již položka 6121). Pokud se v průběhu roku položka neopraví, následně již opravit nelze. Dle odst. 1</w:t>
      </w:r>
      <w:r>
        <w:rPr>
          <w:i/>
          <w:iCs/>
        </w:rPr>
        <w:t xml:space="preserve"> zásad</w:t>
      </w:r>
      <w:r w:rsidRPr="00A252A9">
        <w:rPr>
          <w:i/>
          <w:iCs/>
        </w:rPr>
        <w:t xml:space="preserve"> není ani oprava položky nezbytná, volili jsme ji v době výdaje dle informací, které v té době byly k dispozici.  Zde bychom však doporučili, že pro větší vypovídací schopnost výkazu i rozpočtu je tato oprava vhodná (samozřejmě, když zjistíme skutečný druh výdaje včas).</w:t>
      </w:r>
    </w:p>
    <w:p w14:paraId="17CE2A2A" w14:textId="77777777" w:rsidR="00A252A9" w:rsidRDefault="00A252A9" w:rsidP="00A252A9">
      <w:pPr>
        <w:pStyle w:val="Odstavecseseznamem"/>
        <w:autoSpaceDE w:val="0"/>
        <w:adjustRightInd w:val="0"/>
        <w:spacing w:before="40" w:after="20" w:line="221" w:lineRule="atLeast"/>
        <w:jc w:val="both"/>
      </w:pPr>
    </w:p>
    <w:p w14:paraId="0CA213DA" w14:textId="333F207D"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t>U volby položek neřešíme, na jaké období jsou poskytovány (</w:t>
      </w:r>
      <w:r w:rsidR="004102E5" w:rsidRPr="004102E5">
        <w:t xml:space="preserve">připomínáme, že </w:t>
      </w:r>
      <w:r w:rsidRPr="004102E5">
        <w:t xml:space="preserve">rozpočtová skladba časově nerozlišuje), platby na více let se zatřídí jen na položku dle druhu výdaje k datu příjmu v celé přijaté částce). Totéž platí i u plateb před nebo po plnění, ve lhůtě, či po lhůtě – splnění termínů nemá vliv na volbu položky. </w:t>
      </w:r>
    </w:p>
    <w:p w14:paraId="445EC811" w14:textId="77777777" w:rsidR="00530EE2" w:rsidRDefault="00530EE2" w:rsidP="00530EE2">
      <w:pPr>
        <w:autoSpaceDE w:val="0"/>
        <w:autoSpaceDN w:val="0"/>
        <w:adjustRightInd w:val="0"/>
        <w:spacing w:before="40" w:after="20" w:line="221" w:lineRule="atLeast"/>
        <w:jc w:val="both"/>
        <w:rPr>
          <w:rFonts w:ascii="Times New Roman" w:hAnsi="Times New Roman" w:cs="Times New Roman"/>
          <w:sz w:val="24"/>
          <w:szCs w:val="24"/>
        </w:rPr>
      </w:pPr>
    </w:p>
    <w:p w14:paraId="40E03ACF" w14:textId="54AE78D8" w:rsidR="00530EE2" w:rsidRPr="004102E5" w:rsidRDefault="00530EE2" w:rsidP="004102E5">
      <w:pPr>
        <w:pStyle w:val="Odstavecseseznamem"/>
        <w:numPr>
          <w:ilvl w:val="0"/>
          <w:numId w:val="11"/>
        </w:numPr>
        <w:autoSpaceDE w:val="0"/>
        <w:adjustRightInd w:val="0"/>
        <w:spacing w:before="40" w:after="20" w:line="221" w:lineRule="atLeast"/>
        <w:jc w:val="both"/>
      </w:pPr>
      <w:r w:rsidRPr="004102E5">
        <w:t>Položku především u nákupu nevolíme také dle toho, kdo nebo komu zasíláme platbu. Př. Pokud obec kupuje pozemek se stavbou a složí peníze na kupní cenu do no</w:t>
      </w:r>
      <w:r w:rsidRPr="004102E5">
        <w:softHyphen/>
        <w:t xml:space="preserve">tářské úschovy, zvolí při převodu advokátovi položku 6121 (dle textu pokynu k náplni položky 6121 Stavby). </w:t>
      </w:r>
    </w:p>
    <w:p w14:paraId="17BFEDEE" w14:textId="77777777" w:rsidR="00530EE2" w:rsidRDefault="00530EE2" w:rsidP="00530EE2">
      <w:pPr>
        <w:autoSpaceDE w:val="0"/>
        <w:autoSpaceDN w:val="0"/>
        <w:adjustRightInd w:val="0"/>
        <w:spacing w:before="40" w:after="20" w:line="221" w:lineRule="atLeast"/>
        <w:jc w:val="both"/>
        <w:rPr>
          <w:rFonts w:ascii="Times New Roman" w:hAnsi="Times New Roman" w:cs="Times New Roman"/>
          <w:sz w:val="24"/>
          <w:szCs w:val="24"/>
        </w:rPr>
      </w:pPr>
    </w:p>
    <w:p w14:paraId="2C720A99" w14:textId="73A81672" w:rsidR="00530EE2" w:rsidRDefault="00530EE2" w:rsidP="0004375F">
      <w:pPr>
        <w:pStyle w:val="Odstavecseseznamem"/>
        <w:numPr>
          <w:ilvl w:val="0"/>
          <w:numId w:val="11"/>
        </w:numPr>
        <w:autoSpaceDE w:val="0"/>
        <w:adjustRightInd w:val="0"/>
        <w:spacing w:before="40" w:line="221" w:lineRule="atLeast"/>
        <w:jc w:val="both"/>
      </w:pPr>
      <w:r w:rsidRPr="004102E5">
        <w:t xml:space="preserve">Pokud platby předem typu poukázek, předplacených karet apod. budou následně čerpány na více položkách, lze zvolit položku 5199. </w:t>
      </w:r>
    </w:p>
    <w:p w14:paraId="12720648" w14:textId="3B67BD2A" w:rsidR="0022465C" w:rsidRDefault="0022465C" w:rsidP="0022465C">
      <w:pPr>
        <w:pStyle w:val="Odstavecseseznamem"/>
        <w:autoSpaceDE w:val="0"/>
        <w:adjustRightInd w:val="0"/>
        <w:spacing w:before="40" w:line="221" w:lineRule="atLeast"/>
        <w:jc w:val="both"/>
      </w:pPr>
    </w:p>
    <w:p w14:paraId="15D0D944" w14:textId="77777777" w:rsidR="0022465C" w:rsidRPr="0022465C" w:rsidRDefault="0022465C" w:rsidP="0022465C">
      <w:pPr>
        <w:pStyle w:val="Odstavecseseznamem"/>
        <w:autoSpaceDE w:val="0"/>
        <w:adjustRightInd w:val="0"/>
        <w:spacing w:before="40" w:line="221" w:lineRule="atLeast"/>
        <w:jc w:val="both"/>
      </w:pPr>
    </w:p>
    <w:p w14:paraId="4D844991" w14:textId="42241773" w:rsidR="00CF5F72" w:rsidRDefault="00891D85" w:rsidP="00052441">
      <w:pPr>
        <w:pStyle w:val="Nadpis2"/>
      </w:pPr>
      <w:r>
        <w:t xml:space="preserve"> </w:t>
      </w:r>
      <w:bookmarkStart w:id="32" w:name="_Toc94608962"/>
      <w:bookmarkStart w:id="33" w:name="_Toc94609625"/>
      <w:r w:rsidR="00052441">
        <w:t xml:space="preserve">4.2. </w:t>
      </w:r>
      <w:r>
        <w:t>Citace zásad z pokynu s</w:t>
      </w:r>
      <w:r w:rsidR="00052441">
        <w:t> </w:t>
      </w:r>
      <w:r>
        <w:t>komentáři</w:t>
      </w:r>
      <w:r w:rsidR="00052441">
        <w:t>, přínosné zásady s popisy postupů</w:t>
      </w:r>
      <w:bookmarkEnd w:id="32"/>
      <w:bookmarkEnd w:id="33"/>
      <w:r w:rsidR="00052441">
        <w:t xml:space="preserve"> </w:t>
      </w:r>
      <w:r>
        <w:t xml:space="preserve"> </w:t>
      </w:r>
    </w:p>
    <w:p w14:paraId="189D8F6B" w14:textId="77777777" w:rsidR="00052441" w:rsidRDefault="00052441" w:rsidP="00CF5F72">
      <w:pPr>
        <w:spacing w:after="80" w:line="240" w:lineRule="auto"/>
        <w:jc w:val="both"/>
        <w:rPr>
          <w:rFonts w:ascii="Times New Roman" w:hAnsi="Times New Roman" w:cs="Times New Roman"/>
          <w:sz w:val="24"/>
          <w:szCs w:val="24"/>
        </w:rPr>
      </w:pPr>
    </w:p>
    <w:p w14:paraId="0F8CBD14" w14:textId="09304D97" w:rsidR="00052441" w:rsidRPr="00052441" w:rsidRDefault="00052441" w:rsidP="00F00CFC">
      <w:pPr>
        <w:pStyle w:val="Nadpis3"/>
      </w:pPr>
      <w:bookmarkStart w:id="34" w:name="_Toc94609626"/>
      <w:r>
        <w:t>Tzv. zákaz zobrazení zápočtů přes rozpočtovou skladbu</w:t>
      </w:r>
      <w:bookmarkEnd w:id="34"/>
    </w:p>
    <w:p w14:paraId="07166DC1" w14:textId="6F93AE25" w:rsidR="00CF5F72" w:rsidRPr="00052441" w:rsidRDefault="00CF5F72" w:rsidP="00CF5F72">
      <w:pPr>
        <w:spacing w:after="80" w:line="240" w:lineRule="auto"/>
        <w:jc w:val="both"/>
        <w:rPr>
          <w:rFonts w:cstheme="minorHAnsi"/>
        </w:rPr>
      </w:pPr>
      <w:r w:rsidRPr="00052441">
        <w:rPr>
          <w:rFonts w:cstheme="minorHAnsi"/>
        </w:rPr>
        <w:t xml:space="preserve">(7) </w:t>
      </w:r>
      <w:r w:rsidRPr="0022465C">
        <w:rPr>
          <w:rFonts w:cstheme="minorHAnsi"/>
        </w:rPr>
        <w:t>Organizace, která provádí výdaj podle směnné smlouvy (§ 2184 až 2188 občanského zákoníku) nebo výdaj po započtení (§ 1982 až 1992 občanského zákoníku), nemůže částku směny ani částku započtení zaúčtovat do příjmů ani výdajů.</w:t>
      </w:r>
      <w:r w:rsidRPr="00052441">
        <w:rPr>
          <w:rFonts w:cstheme="minorHAnsi"/>
        </w:rPr>
        <w:t xml:space="preserve"> Organizační složka státu nemůže částku směny ani částku započtení převést z bankovního výdajového účtu státního rozpočtu na účet příjmový. Například organizace, která platí dodavateli cenu dodávky sníženou o částku, kterou jí ten dlužil, nemůže z důvodu, aby měla ve výdajích plnou cenu a ve svých příjmech sumu odpovídající celé její pohledávce za dodavatelem, ani z žádného jiného důvodu tuto částku zaúčtovat do výdajů a příjmů. Organizace, která platí za nájem kanceláří, které používá, majiteli domu dohodnutý nájem snížený o cenu oprav, které pro něj v domě provedla, zařadí na položku 5164 jen takto zaplacenou částku a nemůže částku ve výši ceny oprav zaúčtovat do příjmů a výdajů (organizační složka státu převést ze svého výdajového rozpočtového účtu na svůj rozpočtový účet příjmový) proto, aby tento převod ve výdajích zařadila na položku 5164 a výdaj na této položce tak dorovnala na původní cenu nájmu, a v příjmech na položku 2111 a měla v nich tak platbu odpovídající ceně oprav, ani z žádného jiného důvodu. </w:t>
      </w:r>
      <w:bookmarkStart w:id="35" w:name="_Hlk92632038"/>
      <w:r w:rsidRPr="00052441">
        <w:rPr>
          <w:rFonts w:cstheme="minorHAnsi"/>
        </w:rPr>
        <w:t>Náhradu mzdy za první dva týdny nemoci zařazuje organizace celou na položku 5424 i v případě, že má nárok na refundaci poloviny této náhrady a o tuto polovinu náhrady platí nižší pojistné na sociální zabezpečení, a nemůže platbu zaměstnanci zařadit na položku 5424 jen v částce rozdílu mezi touto platbou a částkou refundace, částku refundace zařadit na položku 5031 a výdaj na této položce tak dorovnat na částku pojistného, jakou by platila, kdyby refundace nebylo.</w:t>
      </w:r>
    </w:p>
    <w:bookmarkEnd w:id="35"/>
    <w:p w14:paraId="18176968" w14:textId="77777777" w:rsidR="00CF5F72" w:rsidRPr="00822908" w:rsidRDefault="00CF5F72" w:rsidP="00CF5F72">
      <w:pPr>
        <w:spacing w:after="0" w:line="240" w:lineRule="auto"/>
        <w:jc w:val="both"/>
        <w:rPr>
          <w:rFonts w:ascii="Times New Roman" w:hAnsi="Times New Roman" w:cs="Times New Roman"/>
          <w:i/>
          <w:iCs/>
          <w:sz w:val="24"/>
          <w:szCs w:val="24"/>
        </w:rPr>
      </w:pPr>
    </w:p>
    <w:p w14:paraId="5A759EB3" w14:textId="77777777" w:rsidR="00CF5F72" w:rsidRPr="00822908" w:rsidRDefault="00CF5F72" w:rsidP="00CF5F72">
      <w:pPr>
        <w:spacing w:after="0" w:line="240" w:lineRule="auto"/>
        <w:ind w:left="1701" w:hanging="1701"/>
        <w:jc w:val="both"/>
        <w:rPr>
          <w:rFonts w:ascii="Times New Roman" w:hAnsi="Times New Roman" w:cs="Times New Roman"/>
          <w:i/>
          <w:iCs/>
          <w:sz w:val="24"/>
          <w:szCs w:val="24"/>
        </w:rPr>
      </w:pPr>
      <w:r w:rsidRPr="00822908">
        <w:rPr>
          <w:rFonts w:ascii="Times New Roman" w:hAnsi="Times New Roman" w:cs="Times New Roman"/>
          <w:i/>
          <w:iCs/>
          <w:sz w:val="24"/>
          <w:szCs w:val="24"/>
        </w:rPr>
        <w:t>Vysvětluje se zde pravidlo, že pokud nedošlo k pohybu peněžních prostředků, nelze zápočty</w:t>
      </w:r>
    </w:p>
    <w:p w14:paraId="5A492860" w14:textId="77777777" w:rsidR="00CF5F72" w:rsidRPr="00822908" w:rsidRDefault="00CF5F72" w:rsidP="00CF5F72">
      <w:pPr>
        <w:spacing w:after="0" w:line="240" w:lineRule="auto"/>
        <w:ind w:left="1701" w:hanging="1701"/>
        <w:jc w:val="both"/>
        <w:rPr>
          <w:rFonts w:ascii="Times New Roman" w:hAnsi="Times New Roman" w:cs="Times New Roman"/>
          <w:i/>
          <w:iCs/>
          <w:sz w:val="24"/>
          <w:szCs w:val="24"/>
        </w:rPr>
      </w:pPr>
      <w:r w:rsidRPr="00822908">
        <w:rPr>
          <w:rFonts w:ascii="Times New Roman" w:hAnsi="Times New Roman" w:cs="Times New Roman"/>
          <w:i/>
          <w:iCs/>
          <w:sz w:val="24"/>
          <w:szCs w:val="24"/>
        </w:rPr>
        <w:t xml:space="preserve">(směny, kompenzace) zobrazit v příjmech i ve výdajích. Přes rozpočtovou skladbu se zobrazí </w:t>
      </w:r>
    </w:p>
    <w:p w14:paraId="03933516" w14:textId="1BC08ABF" w:rsidR="00CF5F72" w:rsidRPr="00822908" w:rsidRDefault="00CF5F72" w:rsidP="00CF5F72">
      <w:pPr>
        <w:spacing w:after="0" w:line="240" w:lineRule="auto"/>
        <w:ind w:left="1701" w:hanging="1701"/>
        <w:jc w:val="both"/>
        <w:rPr>
          <w:rFonts w:ascii="Times New Roman" w:hAnsi="Times New Roman" w:cs="Times New Roman"/>
          <w:i/>
          <w:iCs/>
          <w:sz w:val="24"/>
          <w:szCs w:val="24"/>
        </w:rPr>
      </w:pPr>
      <w:r w:rsidRPr="00822908">
        <w:rPr>
          <w:rFonts w:ascii="Times New Roman" w:hAnsi="Times New Roman" w:cs="Times New Roman"/>
          <w:i/>
          <w:iCs/>
          <w:sz w:val="24"/>
          <w:szCs w:val="24"/>
        </w:rPr>
        <w:t xml:space="preserve">jen případné doplatky. Pravidlo v praxi nelze brát jako dogma. V případě zobrazování </w:t>
      </w:r>
    </w:p>
    <w:p w14:paraId="58782203" w14:textId="77777777" w:rsidR="00CF5F72" w:rsidRPr="00822908" w:rsidRDefault="00CF5F72" w:rsidP="00CF5F72">
      <w:pPr>
        <w:spacing w:after="0" w:line="240" w:lineRule="auto"/>
        <w:ind w:left="1701" w:hanging="1701"/>
        <w:jc w:val="both"/>
        <w:rPr>
          <w:rFonts w:ascii="Times New Roman" w:hAnsi="Times New Roman" w:cs="Times New Roman"/>
          <w:i/>
          <w:iCs/>
          <w:sz w:val="24"/>
          <w:szCs w:val="24"/>
        </w:rPr>
      </w:pPr>
      <w:r w:rsidRPr="00822908">
        <w:rPr>
          <w:rFonts w:ascii="Times New Roman" w:hAnsi="Times New Roman" w:cs="Times New Roman"/>
          <w:i/>
          <w:iCs/>
          <w:sz w:val="24"/>
          <w:szCs w:val="24"/>
        </w:rPr>
        <w:t xml:space="preserve">daně z příjmů právnických osob u obcí a krajů je náplň položky v jasném rozporu s tímto </w:t>
      </w:r>
    </w:p>
    <w:p w14:paraId="306D465B" w14:textId="416846FD" w:rsidR="00CF5F72" w:rsidRPr="00822908" w:rsidRDefault="00CF5F72" w:rsidP="00CF5F72">
      <w:pPr>
        <w:spacing w:after="0" w:line="240" w:lineRule="auto"/>
        <w:ind w:left="1701" w:hanging="1701"/>
        <w:jc w:val="both"/>
        <w:rPr>
          <w:rFonts w:ascii="Times New Roman" w:hAnsi="Times New Roman" w:cs="Times New Roman"/>
          <w:i/>
          <w:iCs/>
          <w:sz w:val="24"/>
          <w:szCs w:val="24"/>
        </w:rPr>
      </w:pPr>
      <w:r w:rsidRPr="00822908">
        <w:rPr>
          <w:rFonts w:ascii="Times New Roman" w:hAnsi="Times New Roman" w:cs="Times New Roman"/>
          <w:i/>
          <w:iCs/>
          <w:sz w:val="24"/>
          <w:szCs w:val="24"/>
        </w:rPr>
        <w:t xml:space="preserve">pokynem: </w:t>
      </w:r>
    </w:p>
    <w:p w14:paraId="6B30E74C" w14:textId="77777777" w:rsidR="00CF5F72" w:rsidRPr="005B36A9" w:rsidRDefault="00CF5F72" w:rsidP="00CF5F72">
      <w:pPr>
        <w:spacing w:after="120"/>
        <w:ind w:left="1701" w:hanging="1701"/>
        <w:jc w:val="both"/>
        <w:rPr>
          <w:rFonts w:ascii="Arial" w:hAnsi="Arial" w:cs="Arial"/>
          <w:color w:val="000000"/>
          <w:sz w:val="20"/>
          <w:szCs w:val="20"/>
        </w:rPr>
      </w:pPr>
      <w:r w:rsidRPr="005B36A9">
        <w:rPr>
          <w:rFonts w:ascii="Arial" w:hAnsi="Arial" w:cs="Arial"/>
          <w:color w:val="000000"/>
          <w:sz w:val="20"/>
          <w:szCs w:val="20"/>
          <w:highlight w:val="lightGray"/>
          <w:u w:val="single"/>
        </w:rPr>
        <w:t>Položka 1122</w:t>
      </w:r>
      <w:r w:rsidRPr="005B36A9">
        <w:rPr>
          <w:rFonts w:ascii="Arial" w:hAnsi="Arial" w:cs="Arial"/>
          <w:color w:val="000000"/>
          <w:sz w:val="20"/>
          <w:szCs w:val="20"/>
          <w:highlight w:val="lightGray"/>
        </w:rPr>
        <w:t xml:space="preserve"> – Příjem z daně z příjmů právnických osob v případech, kdy poplatníkem je obec, s výjimkou daně vybírané srážkou podle zvláštní sazby daně</w:t>
      </w:r>
    </w:p>
    <w:p w14:paraId="4E26516F" w14:textId="77777777" w:rsidR="00CF5F72" w:rsidRPr="005B36A9" w:rsidRDefault="00CF5F72" w:rsidP="00CF5F72">
      <w:pPr>
        <w:spacing w:after="120"/>
        <w:jc w:val="both"/>
        <w:rPr>
          <w:iCs/>
          <w:strike/>
          <w:color w:val="000000"/>
        </w:rPr>
      </w:pPr>
      <w:r w:rsidRPr="005B36A9">
        <w:rPr>
          <w:iCs/>
          <w:color w:val="000000"/>
        </w:rPr>
        <w:t xml:space="preserve">Zahrnuje daň v případech, kdy je poplatníkem obec, s výjimkou daně vybírané srážkou podle zvláštní sazby. Obec na tuto položku zařazuje daň ze svých příjmů [§ 4 odst. 1 písm. g) zákona o rozpočtovém určení daní (zákon č. 243/2000 Sb. ve znění pozdějších předpisů)] </w:t>
      </w:r>
      <w:r w:rsidRPr="005B36A9">
        <w:rPr>
          <w:iCs/>
          <w:color w:val="000000"/>
          <w:u w:val="single"/>
        </w:rPr>
        <w:t xml:space="preserve">i v případě, že výdaj k zaplacení této daně neprovádí a neinkasuje tak její příjem </w:t>
      </w:r>
      <w:r w:rsidRPr="005B36A9">
        <w:rPr>
          <w:iCs/>
          <w:color w:val="000000"/>
        </w:rPr>
        <w:t>a jen si částku odpovídající této dani ponechává na svém bankovním účtu. Neprovedený výdaj této částky patří na položku 5365.</w:t>
      </w:r>
    </w:p>
    <w:p w14:paraId="2F0EEEDC" w14:textId="02D8C903" w:rsidR="00CF5F72" w:rsidRPr="00822908" w:rsidRDefault="00CF5F72" w:rsidP="00CF5F72">
      <w:pPr>
        <w:spacing w:after="80" w:line="240" w:lineRule="auto"/>
        <w:jc w:val="both"/>
        <w:rPr>
          <w:rFonts w:ascii="Times New Roman" w:hAnsi="Times New Roman" w:cs="Times New Roman"/>
          <w:i/>
          <w:iCs/>
          <w:sz w:val="24"/>
          <w:szCs w:val="24"/>
        </w:rPr>
      </w:pPr>
      <w:r w:rsidRPr="00822908">
        <w:rPr>
          <w:rFonts w:ascii="Times New Roman" w:hAnsi="Times New Roman" w:cs="Times New Roman"/>
          <w:i/>
          <w:iCs/>
          <w:sz w:val="24"/>
          <w:szCs w:val="24"/>
        </w:rPr>
        <w:t xml:space="preserve">Také v případech, kdy se „aktivuje majetek“ a je potřeba z důvodů značení vazby výdaje k dotaci třídit výdaj na nástroj, prostorový původ </w:t>
      </w:r>
      <w:r w:rsidR="00052441">
        <w:rPr>
          <w:rFonts w:ascii="Times New Roman" w:hAnsi="Times New Roman" w:cs="Times New Roman"/>
          <w:i/>
          <w:iCs/>
          <w:sz w:val="24"/>
          <w:szCs w:val="24"/>
        </w:rPr>
        <w:t xml:space="preserve">(zdroj) </w:t>
      </w:r>
      <w:r w:rsidRPr="00822908">
        <w:rPr>
          <w:rFonts w:ascii="Times New Roman" w:hAnsi="Times New Roman" w:cs="Times New Roman"/>
          <w:i/>
          <w:iCs/>
          <w:sz w:val="24"/>
          <w:szCs w:val="24"/>
        </w:rPr>
        <w:t xml:space="preserve">a případně účelový znak, musí se zobrazit výdaj a zároveň příjem (viz možné využití položky 2119). </w:t>
      </w:r>
    </w:p>
    <w:p w14:paraId="6AEE3819" w14:textId="6F03E19F" w:rsidR="00CF5F72" w:rsidRPr="00822908" w:rsidRDefault="00CF5F72" w:rsidP="00CF5F72">
      <w:pPr>
        <w:spacing w:after="80" w:line="240" w:lineRule="auto"/>
        <w:jc w:val="both"/>
        <w:rPr>
          <w:rFonts w:ascii="Times New Roman" w:hAnsi="Times New Roman" w:cs="Times New Roman"/>
          <w:i/>
          <w:iCs/>
          <w:sz w:val="24"/>
          <w:szCs w:val="24"/>
        </w:rPr>
      </w:pPr>
      <w:r w:rsidRPr="00822908">
        <w:rPr>
          <w:rFonts w:ascii="Times New Roman" w:hAnsi="Times New Roman" w:cs="Times New Roman"/>
          <w:i/>
          <w:iCs/>
          <w:sz w:val="24"/>
          <w:szCs w:val="24"/>
        </w:rPr>
        <w:t>V některých případech by nezatříděný zápočet přes rozpočtovou skladbu výrazně ovlivnil rozpočet a snížil i jeho kontrolní funkci; vnitřní kontrolní systémy u měst jsou často nastaveny tak, že nezobrazení zápočtů</w:t>
      </w:r>
      <w:r w:rsidR="00052441">
        <w:rPr>
          <w:rFonts w:ascii="Times New Roman" w:hAnsi="Times New Roman" w:cs="Times New Roman"/>
          <w:i/>
          <w:iCs/>
          <w:sz w:val="24"/>
          <w:szCs w:val="24"/>
        </w:rPr>
        <w:t xml:space="preserve"> (ne</w:t>
      </w:r>
      <w:r w:rsidR="00052441" w:rsidRPr="00822908">
        <w:rPr>
          <w:rFonts w:ascii="Times New Roman" w:hAnsi="Times New Roman" w:cs="Times New Roman"/>
          <w:i/>
          <w:iCs/>
          <w:sz w:val="24"/>
          <w:szCs w:val="24"/>
        </w:rPr>
        <w:t>zobrazení v příjmech a zároveň ve výdajích</w:t>
      </w:r>
      <w:r w:rsidR="00052441">
        <w:rPr>
          <w:rFonts w:ascii="Times New Roman" w:hAnsi="Times New Roman" w:cs="Times New Roman"/>
          <w:i/>
          <w:iCs/>
          <w:sz w:val="24"/>
          <w:szCs w:val="24"/>
        </w:rPr>
        <w:t>)</w:t>
      </w:r>
      <w:r w:rsidRPr="00822908">
        <w:rPr>
          <w:rFonts w:ascii="Times New Roman" w:hAnsi="Times New Roman" w:cs="Times New Roman"/>
          <w:i/>
          <w:iCs/>
          <w:sz w:val="24"/>
          <w:szCs w:val="24"/>
        </w:rPr>
        <w:t xml:space="preserve"> přes rozpočtovou skladbu neumožňují. </w:t>
      </w:r>
    </w:p>
    <w:p w14:paraId="4FEB108A" w14:textId="77777777" w:rsidR="00CF5F72" w:rsidRPr="00822908" w:rsidRDefault="00CF5F72" w:rsidP="00CF5F72">
      <w:pPr>
        <w:spacing w:after="80" w:line="240" w:lineRule="auto"/>
        <w:jc w:val="both"/>
        <w:rPr>
          <w:rFonts w:ascii="Times New Roman" w:hAnsi="Times New Roman" w:cs="Times New Roman"/>
          <w:i/>
          <w:iCs/>
          <w:sz w:val="24"/>
          <w:szCs w:val="24"/>
        </w:rPr>
      </w:pPr>
      <w:r w:rsidRPr="00822908">
        <w:rPr>
          <w:rFonts w:ascii="Times New Roman" w:hAnsi="Times New Roman" w:cs="Times New Roman"/>
          <w:b/>
          <w:bCs/>
          <w:i/>
          <w:iCs/>
          <w:sz w:val="24"/>
          <w:szCs w:val="24"/>
        </w:rPr>
        <w:t>Dílčí závěr:</w:t>
      </w:r>
      <w:r w:rsidRPr="00822908">
        <w:rPr>
          <w:rFonts w:ascii="Times New Roman" w:hAnsi="Times New Roman" w:cs="Times New Roman"/>
          <w:i/>
          <w:iCs/>
          <w:sz w:val="24"/>
          <w:szCs w:val="24"/>
        </w:rPr>
        <w:t xml:space="preserve"> Odst.7 se v praxi nedá plně dodržet. </w:t>
      </w:r>
    </w:p>
    <w:p w14:paraId="07E668E9" w14:textId="77777777" w:rsidR="00CF5F72" w:rsidRPr="00822908" w:rsidRDefault="00CF5F72" w:rsidP="00CF5F72">
      <w:pPr>
        <w:spacing w:after="80" w:line="240" w:lineRule="auto"/>
        <w:jc w:val="both"/>
        <w:rPr>
          <w:rFonts w:ascii="Times New Roman" w:hAnsi="Times New Roman" w:cs="Times New Roman"/>
          <w:i/>
          <w:iCs/>
          <w:sz w:val="24"/>
          <w:szCs w:val="24"/>
        </w:rPr>
      </w:pPr>
      <w:r w:rsidRPr="00822908">
        <w:rPr>
          <w:rFonts w:ascii="Times New Roman" w:hAnsi="Times New Roman" w:cs="Times New Roman"/>
          <w:b/>
          <w:bCs/>
          <w:i/>
          <w:iCs/>
          <w:sz w:val="24"/>
          <w:szCs w:val="24"/>
        </w:rPr>
        <w:t>Pozn.</w:t>
      </w:r>
      <w:r w:rsidRPr="00822908">
        <w:rPr>
          <w:rFonts w:ascii="Times New Roman" w:hAnsi="Times New Roman" w:cs="Times New Roman"/>
          <w:i/>
          <w:iCs/>
          <w:sz w:val="24"/>
          <w:szCs w:val="24"/>
        </w:rPr>
        <w:t xml:space="preserve"> V odst. 7 je i příklad položky 5424 a položky 5031 (50% náhrady). V současnosti již možnost snížení pojistného v tomto režimu není, ale nedávno jsme se mohli setkat se snížením odvodu pojistného v režimu tzv. „izolačky“. </w:t>
      </w:r>
    </w:p>
    <w:p w14:paraId="2AA37055" w14:textId="5B193BED" w:rsidR="00AB03C7" w:rsidRPr="00C40C00" w:rsidRDefault="00AB03C7" w:rsidP="00AB03C7">
      <w:pPr>
        <w:spacing w:after="80"/>
        <w:jc w:val="both"/>
        <w:rPr>
          <w:rStyle w:val="Siln"/>
          <w:rFonts w:ascii="Times New Roman" w:hAnsi="Times New Roman" w:cs="Times New Roman"/>
          <w:i/>
          <w:iCs/>
          <w:sz w:val="24"/>
          <w:szCs w:val="24"/>
        </w:rPr>
      </w:pPr>
    </w:p>
    <w:p w14:paraId="598F5B16" w14:textId="4B9DADFF" w:rsidR="00AB03C7" w:rsidRPr="00FB62CE" w:rsidRDefault="00FB62CE" w:rsidP="00F00CFC">
      <w:pPr>
        <w:pStyle w:val="Nadpis3"/>
      </w:pPr>
      <w:bookmarkStart w:id="36" w:name="_Toc94609627"/>
      <w:r w:rsidRPr="00FB62CE">
        <w:lastRenderedPageBreak/>
        <w:t>Možnosti kompenzací</w:t>
      </w:r>
      <w:bookmarkEnd w:id="36"/>
      <w:r w:rsidRPr="00FB62CE">
        <w:t xml:space="preserve"> </w:t>
      </w:r>
      <w:r w:rsidR="00AB03C7" w:rsidRPr="00FB62CE">
        <w:t xml:space="preserve"> </w:t>
      </w:r>
    </w:p>
    <w:p w14:paraId="64D55C10" w14:textId="77777777" w:rsidR="00AB03C7" w:rsidRPr="00FB62CE" w:rsidRDefault="00AB03C7" w:rsidP="00FB62CE">
      <w:pPr>
        <w:spacing w:after="0"/>
        <w:jc w:val="both"/>
        <w:rPr>
          <w:rFonts w:cstheme="minorHAnsi"/>
        </w:rPr>
      </w:pPr>
      <w:r w:rsidRPr="00FB62CE">
        <w:rPr>
          <w:rFonts w:cstheme="minorHAnsi"/>
        </w:rPr>
        <w:t xml:space="preserve">(25) </w:t>
      </w:r>
      <w:r w:rsidRPr="00FB62CE">
        <w:rPr>
          <w:rFonts w:cstheme="minorHAnsi"/>
          <w:b/>
          <w:bCs/>
        </w:rPr>
        <w:t>Výdajová kompenzace je možná jen v tomtéž roce</w:t>
      </w:r>
      <w:r w:rsidRPr="00FB62CE">
        <w:rPr>
          <w:rFonts w:cstheme="minorHAnsi"/>
        </w:rPr>
        <w:t>, v němž byl proveden vracený výdaj. Příjmy, kterými je možné kompenzovat výdaje, jsou, nevylučuje-li to právní předpis [například § 8 odst. 2 a 4, § 9 odst. 2, § 10 odst. 2, § 11 odst. 2 a 4, § 13 odst. 2, § 14 odst. 2, § 15 odst. 2 a 4, § 16 odst. 2, § 17 odst. 4, § 20 odst. 4, § 21 odst. 2, § 22 odst. 2 a § 23 odst. 2 a 4 vyhlášky č. 367/2015 Sb., o zásadách a lhůtách finančního vypořádání vztahů se státním rozpočtem, státními finančními aktivy a Národním fondem (vyhláška o finančním vypořádání), ve znění vyhlášky č. 435/2017 Sb.)],</w:t>
      </w:r>
    </w:p>
    <w:p w14:paraId="6839C5E0" w14:textId="77777777" w:rsidR="00AB03C7" w:rsidRPr="00FB62CE" w:rsidRDefault="00AB03C7" w:rsidP="00FB62CE">
      <w:pPr>
        <w:spacing w:after="0"/>
        <w:ind w:left="340" w:hanging="340"/>
        <w:jc w:val="both"/>
        <w:rPr>
          <w:rFonts w:cstheme="minorHAnsi"/>
        </w:rPr>
      </w:pPr>
      <w:r w:rsidRPr="00FB62CE">
        <w:rPr>
          <w:rFonts w:cstheme="minorHAnsi"/>
        </w:rPr>
        <w:t xml:space="preserve">     a) příjem vratky,</w:t>
      </w:r>
    </w:p>
    <w:p w14:paraId="0B690A14" w14:textId="77777777" w:rsidR="00AB03C7" w:rsidRPr="00FB62CE" w:rsidRDefault="00AB03C7" w:rsidP="00FB62CE">
      <w:pPr>
        <w:pStyle w:val="Normlnweb"/>
        <w:spacing w:before="0" w:after="0"/>
        <w:jc w:val="both"/>
        <w:rPr>
          <w:rFonts w:asciiTheme="minorHAnsi" w:hAnsiTheme="minorHAnsi" w:cstheme="minorHAnsi"/>
          <w:color w:val="auto"/>
          <w:sz w:val="22"/>
          <w:szCs w:val="22"/>
        </w:rPr>
      </w:pPr>
      <w:r w:rsidRPr="00FB62CE">
        <w:rPr>
          <w:rFonts w:asciiTheme="minorHAnsi" w:hAnsiTheme="minorHAnsi" w:cstheme="minorHAnsi"/>
          <w:color w:val="auto"/>
          <w:sz w:val="22"/>
          <w:szCs w:val="22"/>
        </w:rPr>
        <w:t xml:space="preserve">     b) příjem přeplatku,</w:t>
      </w:r>
    </w:p>
    <w:p w14:paraId="57B463BA" w14:textId="77777777" w:rsidR="00AB03C7" w:rsidRPr="00FB62CE" w:rsidRDefault="00AB03C7" w:rsidP="00FB62CE">
      <w:pPr>
        <w:pStyle w:val="Normlnweb"/>
        <w:spacing w:before="0" w:after="0"/>
        <w:jc w:val="both"/>
        <w:rPr>
          <w:rFonts w:asciiTheme="minorHAnsi" w:hAnsiTheme="minorHAnsi" w:cstheme="minorHAnsi"/>
          <w:color w:val="auto"/>
          <w:sz w:val="22"/>
          <w:szCs w:val="22"/>
        </w:rPr>
      </w:pPr>
      <w:r w:rsidRPr="00FB62CE">
        <w:rPr>
          <w:rFonts w:asciiTheme="minorHAnsi" w:hAnsiTheme="minorHAnsi" w:cstheme="minorHAnsi"/>
          <w:color w:val="auto"/>
          <w:sz w:val="22"/>
          <w:szCs w:val="22"/>
        </w:rPr>
        <w:t xml:space="preserve">     c) příjem refundace.</w:t>
      </w:r>
    </w:p>
    <w:p w14:paraId="3E62B4D5" w14:textId="77777777" w:rsidR="00AB03C7" w:rsidRPr="00FB62CE" w:rsidRDefault="00AB03C7" w:rsidP="00FB62CE">
      <w:pPr>
        <w:pStyle w:val="Normlnweb"/>
        <w:spacing w:before="0" w:afterLines="80" w:after="192"/>
        <w:ind w:left="34"/>
        <w:jc w:val="both"/>
        <w:rPr>
          <w:rFonts w:asciiTheme="minorHAnsi" w:hAnsiTheme="minorHAnsi" w:cstheme="minorHAnsi"/>
          <w:color w:val="auto"/>
          <w:sz w:val="22"/>
          <w:szCs w:val="22"/>
        </w:rPr>
      </w:pPr>
      <w:r w:rsidRPr="00FB62CE">
        <w:rPr>
          <w:rFonts w:asciiTheme="minorHAnsi" w:hAnsiTheme="minorHAnsi" w:cstheme="minorHAnsi"/>
          <w:color w:val="auto"/>
          <w:sz w:val="22"/>
          <w:szCs w:val="22"/>
        </w:rPr>
        <w:t>(26) Výdaji, kterými je možné kompenzovat příjmy, mohou být pouze výdaje na vratky.</w:t>
      </w:r>
    </w:p>
    <w:p w14:paraId="6BC0162F" w14:textId="77777777" w:rsidR="00AB03C7" w:rsidRPr="006402D2" w:rsidRDefault="00AB03C7" w:rsidP="00AB03C7">
      <w:pPr>
        <w:pStyle w:val="Normlnweb"/>
        <w:spacing w:before="0" w:afterLines="80" w:after="192"/>
        <w:ind w:left="34"/>
        <w:jc w:val="both"/>
        <w:rPr>
          <w:i/>
          <w:iCs/>
          <w:color w:val="0070C0"/>
        </w:rPr>
      </w:pPr>
      <w:r w:rsidRPr="00822908">
        <w:rPr>
          <w:b/>
          <w:bCs/>
          <w:i/>
          <w:iCs/>
          <w:color w:val="auto"/>
        </w:rPr>
        <w:t>Komentář:</w:t>
      </w:r>
      <w:r w:rsidRPr="00822908">
        <w:rPr>
          <w:i/>
          <w:iCs/>
          <w:color w:val="auto"/>
        </w:rPr>
        <w:t xml:space="preserve"> Jedná se o ustanovení, které opět jinde v pokynu plně jako zásada neplatí, viz. například ustanovení v náplni položky 2324, odst. 9 o kompenzaci výdajů při vracení záloh i meziročních. Předchozí ustanovení zdůrazňují, že rozpočtová skladba časově nerozlišuje a najednou se dává zásada, že kompenzace je možná jen v tomtéž roce. Pravidlo je problematické, protože znehodnocuje vypovídací schopnost výkazu. </w:t>
      </w:r>
      <w:r w:rsidRPr="00822908">
        <w:rPr>
          <w:b/>
          <w:bCs/>
          <w:i/>
          <w:iCs/>
          <w:color w:val="auto"/>
        </w:rPr>
        <w:t>Příklad:</w:t>
      </w:r>
      <w:r w:rsidRPr="00822908">
        <w:rPr>
          <w:i/>
          <w:iCs/>
          <w:color w:val="auto"/>
        </w:rPr>
        <w:t xml:space="preserve"> V běžném roce přeplatí občané poplatky ze psů, v následujícím jsou jim vráceny. Je více vypovídací o celkové výši poplatků ze psů vykázat vratky přeplatků na položce 1341 s minusem v následujícím roce než někde ve zbytkové položce výdajů. Zákaz meziroční kompenzace se v praxi aplikuje v případech jednorázových, pravidelně se neopakujících příjmů nebo výdajů. Pak se případné vratky příjmů z minulých let třídí do výdajů, nebo náhrady výdajů minulých let do příjmů</w:t>
      </w:r>
      <w:r w:rsidRPr="006402D2">
        <w:rPr>
          <w:i/>
          <w:iCs/>
          <w:color w:val="0070C0"/>
        </w:rPr>
        <w:t xml:space="preserve">. </w:t>
      </w:r>
    </w:p>
    <w:p w14:paraId="2AB2A6EB" w14:textId="77777777" w:rsidR="00FB62CE" w:rsidRDefault="00FB62CE" w:rsidP="00AB03C7">
      <w:pPr>
        <w:spacing w:after="120"/>
        <w:jc w:val="both"/>
        <w:rPr>
          <w:rFonts w:ascii="Times New Roman" w:hAnsi="Times New Roman" w:cs="Times New Roman"/>
          <w:sz w:val="24"/>
          <w:szCs w:val="24"/>
        </w:rPr>
      </w:pPr>
    </w:p>
    <w:p w14:paraId="61FD76A2" w14:textId="080B40AD" w:rsidR="00FB62CE" w:rsidRPr="00FB62CE" w:rsidRDefault="00FB62CE" w:rsidP="00F00CFC">
      <w:pPr>
        <w:pStyle w:val="Nadpis3"/>
      </w:pPr>
      <w:bookmarkStart w:id="37" w:name="_Toc94609628"/>
      <w:r w:rsidRPr="00FB62CE">
        <w:t>Režimy pokladen</w:t>
      </w:r>
      <w:bookmarkEnd w:id="37"/>
    </w:p>
    <w:p w14:paraId="2FC4F272" w14:textId="15DF5712" w:rsidR="00FB62CE" w:rsidRPr="00FB62CE" w:rsidRDefault="00FB62CE" w:rsidP="00AB03C7">
      <w:pPr>
        <w:spacing w:after="120"/>
        <w:jc w:val="both"/>
        <w:rPr>
          <w:rFonts w:ascii="Times New Roman" w:hAnsi="Times New Roman" w:cs="Times New Roman"/>
          <w:i/>
          <w:iCs/>
          <w:sz w:val="24"/>
          <w:szCs w:val="24"/>
        </w:rPr>
      </w:pPr>
      <w:r w:rsidRPr="00FB62CE">
        <w:rPr>
          <w:rFonts w:ascii="Times New Roman" w:hAnsi="Times New Roman" w:cs="Times New Roman"/>
          <w:b/>
          <w:bCs/>
          <w:i/>
          <w:iCs/>
          <w:sz w:val="24"/>
          <w:szCs w:val="24"/>
        </w:rPr>
        <w:t>Pozn.</w:t>
      </w:r>
      <w:r w:rsidRPr="00FB62CE">
        <w:rPr>
          <w:rFonts w:ascii="Times New Roman" w:hAnsi="Times New Roman" w:cs="Times New Roman"/>
          <w:i/>
          <w:iCs/>
          <w:sz w:val="24"/>
          <w:szCs w:val="24"/>
        </w:rPr>
        <w:t xml:space="preserve"> Pojmy v bodě č. 39 řeší tzv. oddělenou pokladnu a v bodu 90 vyúčtovávanou zálohovou pokladnu. Zásady řeší podrobněji postupy u oddělené pokladny. </w:t>
      </w:r>
    </w:p>
    <w:p w14:paraId="5CF021F5" w14:textId="77777777" w:rsidR="00FB62CE" w:rsidRPr="00FB62CE" w:rsidRDefault="00FB62CE" w:rsidP="00AB03C7">
      <w:pPr>
        <w:spacing w:after="120"/>
        <w:jc w:val="both"/>
        <w:rPr>
          <w:rFonts w:ascii="Times New Roman" w:hAnsi="Times New Roman" w:cs="Times New Roman"/>
          <w:i/>
          <w:iCs/>
          <w:sz w:val="24"/>
          <w:szCs w:val="24"/>
        </w:rPr>
      </w:pPr>
    </w:p>
    <w:p w14:paraId="716CCB7C" w14:textId="3195DA9A" w:rsidR="00AB03C7" w:rsidRPr="00F8195D" w:rsidRDefault="00AB03C7" w:rsidP="00AB03C7">
      <w:pPr>
        <w:spacing w:after="120"/>
        <w:jc w:val="both"/>
        <w:rPr>
          <w:rFonts w:cstheme="minorHAnsi"/>
        </w:rPr>
      </w:pPr>
      <w:r w:rsidRPr="00822908">
        <w:rPr>
          <w:rFonts w:ascii="Times New Roman" w:hAnsi="Times New Roman" w:cs="Times New Roman"/>
          <w:sz w:val="24"/>
          <w:szCs w:val="24"/>
        </w:rPr>
        <w:t>(</w:t>
      </w:r>
      <w:r w:rsidRPr="00F8195D">
        <w:rPr>
          <w:rFonts w:cstheme="minorHAnsi"/>
        </w:rPr>
        <w:t>29</w:t>
      </w:r>
      <w:r w:rsidRPr="00F8195D">
        <w:rPr>
          <w:rFonts w:cstheme="minorHAnsi"/>
          <w:b/>
          <w:bCs/>
        </w:rPr>
        <w:t>) Režim oddělených pokladen je režim</w:t>
      </w:r>
      <w:r w:rsidRPr="00F8195D">
        <w:rPr>
          <w:rFonts w:cstheme="minorHAnsi"/>
        </w:rPr>
        <w:t xml:space="preserve">, v němž se pokladna proti rozpočtu nevyúčtovává, a to ani k výkazovým dnům ani na konci roku. Může fungovat jako samostatný peněžní fond napojený na rozpočet jen finančními vztahy, kterými jsou převody do něj (položka 4138) a z něj (položka 5348), její příjmy a výdaje se prvotně nezahrnují mezi příjmy a výdaje rozpočtu, ale jsou od nich odděleny, označují se jednotkami třídění rozpočtové skladby při svém </w:t>
      </w:r>
      <w:proofErr w:type="spellStart"/>
      <w:r w:rsidRPr="00F8195D">
        <w:rPr>
          <w:rFonts w:cstheme="minorHAnsi"/>
        </w:rPr>
        <w:t>zaúčtovávání</w:t>
      </w:r>
      <w:proofErr w:type="spellEnd"/>
      <w:r w:rsidRPr="00F8195D">
        <w:rPr>
          <w:rFonts w:cstheme="minorHAnsi"/>
        </w:rPr>
        <w:t xml:space="preserve"> na účet pokladny a s příjmy a výdaji bankovního účtu rozpočtu se ve výkaze pro hodnocení plnění rozpočtu územních samosprávných celků a dobrovolných svazků obcí sčítají (dále jen „režim oddělených pokladen“). </w:t>
      </w:r>
      <w:r w:rsidRPr="00F8195D">
        <w:rPr>
          <w:rFonts w:cstheme="minorHAnsi"/>
          <w:b/>
          <w:bCs/>
        </w:rPr>
        <w:t>Organizace může pokladnu v režimu oddělených pokladen začít používat vždy jen od začátku roku a skončit s jeho používáním vždy jen s koncem roku.</w:t>
      </w:r>
      <w:r w:rsidRPr="00F8195D">
        <w:rPr>
          <w:rFonts w:cstheme="minorHAnsi"/>
        </w:rPr>
        <w:t xml:space="preserve"> Převody z této pokladny na bankovní účet organizace se zařazují vždy jen na položku 4138 a převody z bankovního účtu do ní na položku 5348. Při účtování těchto příjmů a výdajů bankovního účtu se nepoužívají položky vyjadřující příjmy, které byly do pokladny inkasovány, ani položky vyjadřující výdaje, které z ní byly hrazeny (používají se při účtování o účtu 261 – Pokladna), ani položka 5182. Položka 4138 vyjadřuje, že převod se uskutečnil z oddělené pokladny a je to převod uvnitř rozpočtu obce, kraje nebo dobrovolného svazku obcí. Zařazují se na ni částky přijaté na bankovní účet rozpočtu z peněžních prostředků z oddělené pokladny tvořících v ní součást peněžních prostředků rozpočtu (výdaj z ní na tento převod se zařazuje na položku 5345) a částky přijaté mezi peněžní prostředky rozpočtu v oddělené pokladně z peněžních prostředků rozpočtu v jiné oddělené pokladně (výdaj z ní na tento převod se zařazuje na položku 5348).</w:t>
      </w:r>
    </w:p>
    <w:p w14:paraId="75C751D9" w14:textId="77777777" w:rsidR="00AB03C7" w:rsidRPr="00822908" w:rsidRDefault="00AB03C7" w:rsidP="00AB03C7">
      <w:pPr>
        <w:spacing w:after="120"/>
        <w:jc w:val="both"/>
        <w:rPr>
          <w:rFonts w:ascii="Times New Roman" w:hAnsi="Times New Roman" w:cs="Times New Roman"/>
          <w:i/>
          <w:iCs/>
          <w:sz w:val="24"/>
          <w:szCs w:val="24"/>
        </w:rPr>
      </w:pPr>
      <w:r w:rsidRPr="00822908">
        <w:rPr>
          <w:rFonts w:ascii="Times New Roman" w:hAnsi="Times New Roman" w:cs="Times New Roman"/>
          <w:b/>
          <w:bCs/>
          <w:i/>
          <w:iCs/>
          <w:sz w:val="24"/>
          <w:szCs w:val="24"/>
        </w:rPr>
        <w:lastRenderedPageBreak/>
        <w:t xml:space="preserve">Komentář: </w:t>
      </w:r>
      <w:r w:rsidRPr="00822908">
        <w:rPr>
          <w:rFonts w:ascii="Times New Roman" w:hAnsi="Times New Roman" w:cs="Times New Roman"/>
          <w:i/>
          <w:iCs/>
          <w:sz w:val="24"/>
          <w:szCs w:val="24"/>
        </w:rPr>
        <w:t xml:space="preserve">Jedná se o vysvětlení systému tzv. „oddělených pokladen“. Všimněte si prosím zdůrazněné věty tučným písmem, kde je uvedeno, že se v případě volby systému oddělených pokladen musí zahájit na začátku roku a dodržet po celý rok. Upozornění: Nikde není uvedeno, že není možné vést zároveň oddělenou pokladnu a jiné pokladny v režimu zálohových, účetní jednotka může využívat oba systémy vedení pokladen přes rozpočtovou skladbu. </w:t>
      </w:r>
    </w:p>
    <w:p w14:paraId="317D8270" w14:textId="77777777" w:rsidR="00F8195D" w:rsidRDefault="00F8195D" w:rsidP="00AB03C7">
      <w:pPr>
        <w:spacing w:after="120"/>
        <w:jc w:val="both"/>
        <w:rPr>
          <w:rFonts w:ascii="Times New Roman" w:hAnsi="Times New Roman" w:cs="Times New Roman"/>
          <w:sz w:val="28"/>
          <w:szCs w:val="28"/>
        </w:rPr>
      </w:pPr>
    </w:p>
    <w:p w14:paraId="50DA00A1" w14:textId="282F1676" w:rsidR="00FC38C8" w:rsidRDefault="00FC38C8" w:rsidP="00F00CFC">
      <w:pPr>
        <w:pStyle w:val="Nadpis3"/>
      </w:pPr>
      <w:bookmarkStart w:id="38" w:name="_Toc94609629"/>
      <w:r>
        <w:t>Přehled použití položek ve vztahu k nehmotným věcem</w:t>
      </w:r>
      <w:bookmarkEnd w:id="38"/>
      <w:r>
        <w:t xml:space="preserve"> </w:t>
      </w:r>
    </w:p>
    <w:p w14:paraId="261B4AAC" w14:textId="6834E8F5" w:rsidR="00AB03C7" w:rsidRPr="00FC38C8" w:rsidRDefault="00AB03C7" w:rsidP="00AB03C7">
      <w:pPr>
        <w:spacing w:after="120"/>
        <w:jc w:val="both"/>
        <w:rPr>
          <w:rFonts w:cstheme="minorHAnsi"/>
        </w:rPr>
      </w:pPr>
      <w:r w:rsidRPr="00FC38C8">
        <w:rPr>
          <w:rFonts w:cstheme="minorHAnsi"/>
        </w:rPr>
        <w:t>(32) Výdaje na pořízení informací na hmotných nosičích vnímatelných jen prostřednictvím zvláštních zařízení patří na položku 5169. Výdaje na pořízení informací zřízením přístupu do elektronické databáze patří na položky 5042, 5172 nebo 6111 podle toho, dostala-li organizace oprávnění k užití databáze nebo k vytěžování nebo k zužitkování celého obsahu databáze nebo její kvalitativně nebo kvantitativně podstatné části (§ 30 odst. 3 a § 90 autorského zákona), které má povahu nehmotného majetku (položky 5172 a 6111) nebo ji nemá (položka 5042) a pokud ji má, zda výdaj na jeho získání je vyšší než 60 000 Kč a údaje z databáze jsou využitelné déle než rok (položka 6111), nebo zda jedna z těchto podmínek nebo obě neplatí (položka 5172).</w:t>
      </w:r>
    </w:p>
    <w:p w14:paraId="76C06310" w14:textId="319FDE17" w:rsidR="00AB03C7" w:rsidRPr="00822908" w:rsidRDefault="00AB03C7" w:rsidP="00FC38C8">
      <w:pPr>
        <w:spacing w:after="120"/>
        <w:jc w:val="both"/>
        <w:rPr>
          <w:rFonts w:ascii="Times New Roman" w:hAnsi="Times New Roman" w:cs="Times New Roman"/>
          <w:i/>
          <w:iCs/>
          <w:sz w:val="24"/>
          <w:szCs w:val="24"/>
        </w:rPr>
      </w:pPr>
      <w:r w:rsidRPr="00822908">
        <w:rPr>
          <w:rFonts w:ascii="Times New Roman" w:hAnsi="Times New Roman" w:cs="Times New Roman"/>
          <w:b/>
          <w:bCs/>
          <w:i/>
          <w:iCs/>
          <w:sz w:val="24"/>
          <w:szCs w:val="24"/>
        </w:rPr>
        <w:t xml:space="preserve">Komentář: </w:t>
      </w:r>
      <w:r w:rsidRPr="00822908">
        <w:rPr>
          <w:rFonts w:ascii="Times New Roman" w:hAnsi="Times New Roman" w:cs="Times New Roman"/>
          <w:i/>
          <w:iCs/>
          <w:sz w:val="24"/>
          <w:szCs w:val="24"/>
        </w:rPr>
        <w:t xml:space="preserve">Upozorňujeme i na další rozdělení v případě informací, kdy se má třídit i podle hlediska, jakým způsobem se k informaci dostáváme, jedná se o položku 5136 – Knihy, učební pomůcky a tisk a o položku 5169 Nákup ostatních služeb. K náplni položky 5136 v pokynu je uvedeno toto:  </w:t>
      </w:r>
    </w:p>
    <w:p w14:paraId="4DA5561F" w14:textId="77777777" w:rsidR="00AB03C7" w:rsidRPr="00FC38C8" w:rsidRDefault="00AB03C7" w:rsidP="00AB03C7">
      <w:pPr>
        <w:jc w:val="both"/>
        <w:rPr>
          <w:rFonts w:cstheme="minorHAnsi"/>
          <w:i/>
          <w:iCs/>
        </w:rPr>
      </w:pPr>
      <w:r w:rsidRPr="00FC38C8">
        <w:rPr>
          <w:rFonts w:cstheme="minorHAnsi"/>
          <w:iCs/>
        </w:rPr>
        <w:t>Výdaje na konzumaci cizího nehmotného majetku se zařazují na položky podle toho, jakým způsobem se získává k němu přístup, například výdaje na pořízení tištěných knih obsahujících autorská díla patří na položku 5136, výdaje na možnost seznámit se s informacemi majícími povahu autorského díla jiným způsobem než pořízením hmotných věcí, v nichž převažuje hmotná podstata, na položku 5169…</w:t>
      </w:r>
    </w:p>
    <w:p w14:paraId="5AE5CDBC" w14:textId="54CD8D63" w:rsidR="00AB03C7" w:rsidRPr="00822908" w:rsidRDefault="00AB03C7" w:rsidP="00AB03C7">
      <w:pPr>
        <w:spacing w:after="120"/>
        <w:jc w:val="both"/>
        <w:rPr>
          <w:rFonts w:ascii="Times New Roman" w:hAnsi="Times New Roman" w:cs="Times New Roman"/>
          <w:b/>
          <w:bCs/>
          <w:i/>
          <w:sz w:val="24"/>
          <w:szCs w:val="24"/>
        </w:rPr>
      </w:pPr>
      <w:r w:rsidRPr="00822908">
        <w:rPr>
          <w:rFonts w:ascii="Times New Roman" w:hAnsi="Times New Roman" w:cs="Times New Roman"/>
          <w:i/>
          <w:sz w:val="24"/>
          <w:szCs w:val="24"/>
        </w:rPr>
        <w:t>Jedná se o rozlišování, zda je přístup k informaci „přímý“, nebo zda potřebujeme k přístupu nějaký přístroj. Pokud přímý, jsme v režimu materiálu. Hledisko přístupu je někdy v praxi nenaplnitelné, např. v případě CD pořizovaných do knihovny</w:t>
      </w:r>
      <w:r w:rsidR="00FC38C8">
        <w:rPr>
          <w:rFonts w:ascii="Times New Roman" w:hAnsi="Times New Roman" w:cs="Times New Roman"/>
          <w:i/>
          <w:sz w:val="24"/>
          <w:szCs w:val="24"/>
        </w:rPr>
        <w:t xml:space="preserve"> za účelem půjčování k poslechu</w:t>
      </w:r>
      <w:r w:rsidRPr="00822908">
        <w:rPr>
          <w:rFonts w:ascii="Times New Roman" w:hAnsi="Times New Roman" w:cs="Times New Roman"/>
          <w:i/>
          <w:sz w:val="24"/>
          <w:szCs w:val="24"/>
        </w:rPr>
        <w:t xml:space="preserve"> je více vypovídací volba materiálu, ne služby. </w:t>
      </w:r>
    </w:p>
    <w:p w14:paraId="0A480C05" w14:textId="77777777" w:rsidR="00AB03C7" w:rsidRPr="00FC38C8" w:rsidRDefault="00AB03C7" w:rsidP="008A4C8A">
      <w:pPr>
        <w:pStyle w:val="Normlnweb"/>
        <w:spacing w:before="0" w:afterLines="80" w:after="192"/>
        <w:ind w:left="0"/>
        <w:jc w:val="both"/>
        <w:rPr>
          <w:rFonts w:asciiTheme="minorHAnsi" w:hAnsiTheme="minorHAnsi" w:cstheme="minorHAnsi"/>
          <w:color w:val="auto"/>
          <w:sz w:val="22"/>
          <w:szCs w:val="22"/>
        </w:rPr>
      </w:pPr>
      <w:r w:rsidRPr="00FC38C8">
        <w:rPr>
          <w:rFonts w:asciiTheme="minorHAnsi" w:hAnsiTheme="minorHAnsi" w:cstheme="minorHAnsi"/>
          <w:color w:val="auto"/>
          <w:sz w:val="22"/>
          <w:szCs w:val="22"/>
        </w:rPr>
        <w:t xml:space="preserve">(33) </w:t>
      </w:r>
      <w:r w:rsidRPr="00FC38C8">
        <w:rPr>
          <w:rFonts w:asciiTheme="minorHAnsi" w:hAnsiTheme="minorHAnsi" w:cstheme="minorHAnsi"/>
          <w:b/>
          <w:bCs/>
          <w:color w:val="auto"/>
          <w:sz w:val="22"/>
          <w:szCs w:val="22"/>
        </w:rPr>
        <w:t>Na položku 5168</w:t>
      </w:r>
      <w:r w:rsidRPr="00FC38C8">
        <w:rPr>
          <w:rFonts w:asciiTheme="minorHAnsi" w:hAnsiTheme="minorHAnsi" w:cstheme="minorHAnsi"/>
          <w:color w:val="auto"/>
          <w:sz w:val="22"/>
          <w:szCs w:val="22"/>
        </w:rPr>
        <w:t xml:space="preserve"> patří výdaje na služby týkající se hmotného majetku tvořícího součást informačních a komunikačních technologií; výdaje na jeho pořízení patří na příslušné položky podle jeho povahy (položky 5137, 5139 a 6125).</w:t>
      </w:r>
    </w:p>
    <w:p w14:paraId="541FE487" w14:textId="77777777" w:rsidR="008A4C8A" w:rsidRDefault="008A4C8A" w:rsidP="00AB03C7">
      <w:pPr>
        <w:pStyle w:val="Normlnweb"/>
        <w:spacing w:before="0" w:afterLines="80" w:after="192"/>
        <w:ind w:left="34"/>
        <w:jc w:val="both"/>
        <w:rPr>
          <w:color w:val="auto"/>
          <w:sz w:val="28"/>
          <w:szCs w:val="28"/>
        </w:rPr>
      </w:pPr>
    </w:p>
    <w:p w14:paraId="0901CA20" w14:textId="06F084B6" w:rsidR="00AB03C7" w:rsidRPr="00FC38C8" w:rsidRDefault="00FC38C8" w:rsidP="00F00CFC">
      <w:pPr>
        <w:pStyle w:val="Nadpis3"/>
      </w:pPr>
      <w:bookmarkStart w:id="39" w:name="_Toc94609630"/>
      <w:r w:rsidRPr="00FC38C8">
        <w:t>Přehled položek ve vztahu k dlouhodobému majetku</w:t>
      </w:r>
      <w:bookmarkEnd w:id="39"/>
    </w:p>
    <w:p w14:paraId="24B3EAD8" w14:textId="77777777" w:rsidR="00AB03C7" w:rsidRPr="00FC38C8" w:rsidRDefault="00AB03C7" w:rsidP="00AB03C7">
      <w:pPr>
        <w:pStyle w:val="Normlnweb"/>
        <w:spacing w:before="0" w:afterLines="80" w:after="192"/>
        <w:ind w:left="34"/>
        <w:jc w:val="both"/>
        <w:rPr>
          <w:rFonts w:asciiTheme="minorHAnsi" w:hAnsiTheme="minorHAnsi" w:cstheme="minorHAnsi"/>
          <w:color w:val="auto"/>
          <w:sz w:val="22"/>
          <w:szCs w:val="22"/>
        </w:rPr>
      </w:pPr>
      <w:r w:rsidRPr="00FC38C8">
        <w:rPr>
          <w:rFonts w:asciiTheme="minorHAnsi" w:hAnsiTheme="minorHAnsi" w:cstheme="minorHAnsi"/>
          <w:color w:val="auto"/>
          <w:sz w:val="22"/>
          <w:szCs w:val="22"/>
        </w:rPr>
        <w:t xml:space="preserve">(34) Výdaje na dodavatelské pořízení podlimitního technického zhodnocení hmotného majetku kromě materiálu patří na </w:t>
      </w:r>
      <w:r w:rsidRPr="00DC48EE">
        <w:rPr>
          <w:rFonts w:asciiTheme="minorHAnsi" w:hAnsiTheme="minorHAnsi" w:cstheme="minorHAnsi"/>
          <w:b/>
          <w:bCs/>
          <w:color w:val="auto"/>
          <w:sz w:val="22"/>
          <w:szCs w:val="22"/>
        </w:rPr>
        <w:t>položku 5123</w:t>
      </w:r>
      <w:r w:rsidRPr="00FC38C8">
        <w:rPr>
          <w:rFonts w:asciiTheme="minorHAnsi" w:hAnsiTheme="minorHAnsi" w:cstheme="minorHAnsi"/>
          <w:color w:val="auto"/>
          <w:sz w:val="22"/>
          <w:szCs w:val="22"/>
        </w:rPr>
        <w:t xml:space="preserve">, a to bez ohledu na to, zda zhodnocovaným hmotným majetkem je dlouhodobý hmotný majetek nebo drobný hmotný dlouhodobý majetek. Výdaje na dodavatelské pořízení podlimitního technického zhodnocení nehmotného majetku patří, jsou-li tímto majetkem počítačové programy nebo databáze, </w:t>
      </w:r>
      <w:r w:rsidRPr="00DC48EE">
        <w:rPr>
          <w:rFonts w:asciiTheme="minorHAnsi" w:hAnsiTheme="minorHAnsi" w:cstheme="minorHAnsi"/>
          <w:b/>
          <w:bCs/>
          <w:color w:val="auto"/>
          <w:sz w:val="22"/>
          <w:szCs w:val="22"/>
        </w:rPr>
        <w:t>na položku 5172</w:t>
      </w:r>
      <w:r w:rsidRPr="00FC38C8">
        <w:rPr>
          <w:rFonts w:asciiTheme="minorHAnsi" w:hAnsiTheme="minorHAnsi" w:cstheme="minorHAnsi"/>
          <w:color w:val="auto"/>
          <w:sz w:val="22"/>
          <w:szCs w:val="22"/>
        </w:rPr>
        <w:t xml:space="preserve"> a v ostatních případech na </w:t>
      </w:r>
      <w:r w:rsidRPr="00DC48EE">
        <w:rPr>
          <w:rFonts w:asciiTheme="minorHAnsi" w:hAnsiTheme="minorHAnsi" w:cstheme="minorHAnsi"/>
          <w:b/>
          <w:bCs/>
          <w:color w:val="auto"/>
          <w:sz w:val="22"/>
          <w:szCs w:val="22"/>
        </w:rPr>
        <w:t>položku 5179</w:t>
      </w:r>
      <w:r w:rsidRPr="00FC38C8">
        <w:rPr>
          <w:rFonts w:asciiTheme="minorHAnsi" w:hAnsiTheme="minorHAnsi" w:cstheme="minorHAnsi"/>
          <w:color w:val="auto"/>
          <w:sz w:val="22"/>
          <w:szCs w:val="22"/>
        </w:rPr>
        <w:t xml:space="preserve">, a to bez ohledu na to, je-li či není-li zhodnocovaný nehmotný majetek nehmotným majetkem dlouhodobým. Výdaje na dodavatelské pořízení nadlimitního technického zhodnocení hmotného majetku patří na příslušnou položku podseskupení </w:t>
      </w:r>
      <w:r w:rsidRPr="00DC48EE">
        <w:rPr>
          <w:rFonts w:asciiTheme="minorHAnsi" w:hAnsiTheme="minorHAnsi" w:cstheme="minorHAnsi"/>
          <w:b/>
          <w:bCs/>
          <w:color w:val="auto"/>
          <w:sz w:val="22"/>
          <w:szCs w:val="22"/>
        </w:rPr>
        <w:t>položek 612</w:t>
      </w:r>
      <w:r w:rsidRPr="00FC38C8">
        <w:rPr>
          <w:rFonts w:asciiTheme="minorHAnsi" w:hAnsiTheme="minorHAnsi" w:cstheme="minorHAnsi"/>
          <w:color w:val="auto"/>
          <w:sz w:val="22"/>
          <w:szCs w:val="22"/>
        </w:rPr>
        <w:t xml:space="preserve"> podle povahy zhodnocovaných hmotných věcí, a to bez ohledu na to, zda zhodnocovaným hmotným majetkem je dlouhodobý hmotný majetek nebo drobný dlouhodobý hmotný majetek. Výdaje na dodavatelské pořízení nadlimitního technického zhodnocení nehmotného majetku patří na příslušnou položku </w:t>
      </w:r>
      <w:r w:rsidRPr="00DC48EE">
        <w:rPr>
          <w:rFonts w:asciiTheme="minorHAnsi" w:hAnsiTheme="minorHAnsi" w:cstheme="minorHAnsi"/>
          <w:b/>
          <w:bCs/>
          <w:color w:val="auto"/>
          <w:sz w:val="22"/>
          <w:szCs w:val="22"/>
        </w:rPr>
        <w:t>podseskupení položek 611</w:t>
      </w:r>
      <w:r w:rsidRPr="00FC38C8">
        <w:rPr>
          <w:rFonts w:asciiTheme="minorHAnsi" w:hAnsiTheme="minorHAnsi" w:cstheme="minorHAnsi"/>
          <w:color w:val="auto"/>
          <w:sz w:val="22"/>
          <w:szCs w:val="22"/>
        </w:rPr>
        <w:t xml:space="preserve">, a to bez ohledu na to, je-li či není-li zhodnocovaný nehmotný majetek nehmotným majetkem </w:t>
      </w:r>
      <w:r w:rsidRPr="00FC38C8">
        <w:rPr>
          <w:rFonts w:asciiTheme="minorHAnsi" w:hAnsiTheme="minorHAnsi" w:cstheme="minorHAnsi"/>
          <w:color w:val="auto"/>
          <w:sz w:val="22"/>
          <w:szCs w:val="22"/>
        </w:rPr>
        <w:lastRenderedPageBreak/>
        <w:t xml:space="preserve">dlouhodobým. Výdaje na dodavatelské pořízení technického zhodnocení materiálu patří, nevzniká-li jím dlouhodobý hmotný majetek nebo drobný hmotný dlouhodobý majetek, </w:t>
      </w:r>
      <w:r w:rsidRPr="00DC48EE">
        <w:rPr>
          <w:rFonts w:asciiTheme="minorHAnsi" w:hAnsiTheme="minorHAnsi" w:cstheme="minorHAnsi"/>
          <w:b/>
          <w:bCs/>
          <w:color w:val="auto"/>
          <w:sz w:val="22"/>
          <w:szCs w:val="22"/>
        </w:rPr>
        <w:t>na položku 5169</w:t>
      </w:r>
      <w:r w:rsidRPr="00FC38C8">
        <w:rPr>
          <w:rFonts w:asciiTheme="minorHAnsi" w:hAnsiTheme="minorHAnsi" w:cstheme="minorHAnsi"/>
          <w:color w:val="auto"/>
          <w:sz w:val="22"/>
          <w:szCs w:val="22"/>
        </w:rPr>
        <w:t xml:space="preserve">; vzniká-li, patří v prvním případě na příslušnou položku podseskupení </w:t>
      </w:r>
      <w:r w:rsidRPr="00DC48EE">
        <w:rPr>
          <w:rFonts w:asciiTheme="minorHAnsi" w:hAnsiTheme="minorHAnsi" w:cstheme="minorHAnsi"/>
          <w:b/>
          <w:bCs/>
          <w:color w:val="auto"/>
          <w:sz w:val="22"/>
          <w:szCs w:val="22"/>
        </w:rPr>
        <w:t>položek 612</w:t>
      </w:r>
      <w:r w:rsidRPr="00FC38C8">
        <w:rPr>
          <w:rFonts w:asciiTheme="minorHAnsi" w:hAnsiTheme="minorHAnsi" w:cstheme="minorHAnsi"/>
          <w:color w:val="auto"/>
          <w:sz w:val="22"/>
          <w:szCs w:val="22"/>
        </w:rPr>
        <w:t xml:space="preserve"> podle povahy zhodnocovaných hmotných věcí a ve druhém na </w:t>
      </w:r>
      <w:r w:rsidRPr="00DC48EE">
        <w:rPr>
          <w:rFonts w:asciiTheme="minorHAnsi" w:hAnsiTheme="minorHAnsi" w:cstheme="minorHAnsi"/>
          <w:b/>
          <w:bCs/>
          <w:color w:val="auto"/>
          <w:sz w:val="22"/>
          <w:szCs w:val="22"/>
        </w:rPr>
        <w:t>položku 5123.</w:t>
      </w:r>
    </w:p>
    <w:p w14:paraId="65DE0451" w14:textId="77777777" w:rsidR="00FC38C8" w:rsidRDefault="00FC38C8" w:rsidP="00AB03C7">
      <w:pPr>
        <w:pStyle w:val="Normlnweb"/>
        <w:spacing w:before="0" w:afterLines="80" w:after="192"/>
        <w:ind w:left="34"/>
        <w:jc w:val="both"/>
        <w:rPr>
          <w:color w:val="auto"/>
        </w:rPr>
      </w:pPr>
    </w:p>
    <w:p w14:paraId="4CCD7281" w14:textId="77777777" w:rsidR="008A4C8A" w:rsidRPr="00F00CFC" w:rsidRDefault="008A4C8A" w:rsidP="00F00CFC">
      <w:pPr>
        <w:pStyle w:val="Nadpis3"/>
        <w:rPr>
          <w:rStyle w:val="Siln"/>
          <w:b w:val="0"/>
          <w:bCs w:val="0"/>
        </w:rPr>
      </w:pPr>
      <w:bookmarkStart w:id="40" w:name="_Toc94609631"/>
      <w:r w:rsidRPr="00F00CFC">
        <w:rPr>
          <w:rStyle w:val="Siln"/>
          <w:b w:val="0"/>
          <w:bCs w:val="0"/>
        </w:rPr>
        <w:t>Základní přehled systému transferových položek.</w:t>
      </w:r>
      <w:bookmarkEnd w:id="40"/>
      <w:r w:rsidRPr="00F00CFC">
        <w:rPr>
          <w:rStyle w:val="Siln"/>
          <w:b w:val="0"/>
          <w:bCs w:val="0"/>
        </w:rPr>
        <w:t xml:space="preserve"> </w:t>
      </w:r>
    </w:p>
    <w:p w14:paraId="00AEA0F3" w14:textId="77777777" w:rsidR="008A4C8A" w:rsidRPr="00DC48EE" w:rsidRDefault="008A4C8A" w:rsidP="008A4C8A">
      <w:pPr>
        <w:spacing w:after="80"/>
        <w:jc w:val="both"/>
        <w:rPr>
          <w:rStyle w:val="Siln"/>
          <w:rFonts w:cstheme="minorHAnsi"/>
          <w:b w:val="0"/>
        </w:rPr>
      </w:pPr>
      <w:r w:rsidRPr="00DC48EE">
        <w:rPr>
          <w:rFonts w:cstheme="minorHAnsi"/>
          <w:bCs/>
        </w:rPr>
        <w:t xml:space="preserve">(11) Transfery a půjčené peněžní prostředky tuzemským osobám patří na </w:t>
      </w:r>
      <w:r w:rsidRPr="00DC48EE">
        <w:rPr>
          <w:rFonts w:cstheme="minorHAnsi"/>
          <w:b/>
        </w:rPr>
        <w:t>položky ze seskupení 52, 53, 54, 57 a 67 a podseskupení 561 až 566, 631 až 637 a 641 až 646</w:t>
      </w:r>
      <w:r w:rsidRPr="00DC48EE">
        <w:rPr>
          <w:rFonts w:cstheme="minorHAnsi"/>
          <w:bCs/>
        </w:rPr>
        <w:t xml:space="preserve"> a t</w:t>
      </w:r>
      <w:r w:rsidRPr="00DC48EE">
        <w:rPr>
          <w:rStyle w:val="Siln"/>
          <w:rFonts w:cstheme="minorHAnsi"/>
        </w:rPr>
        <w:t>ransfery zahraničním osobám na položky ze seskupení 55 a z podseskupení 567, 638 a 647</w:t>
      </w:r>
      <w:r w:rsidRPr="00DC48EE">
        <w:rPr>
          <w:rFonts w:cstheme="minorHAnsi"/>
          <w:bCs/>
        </w:rPr>
        <w:t xml:space="preserve"> podle toho, jsou-li neinvestiční či investiční, jakým osobám jsou poskytovány a případně podle právního titulu poskytnutí, a to bez ohledu na to, jsou-li poskytovány </w:t>
      </w:r>
      <w:r w:rsidRPr="00DC48EE">
        <w:rPr>
          <w:rStyle w:val="Siln"/>
          <w:rFonts w:cstheme="minorHAnsi"/>
        </w:rPr>
        <w:t>na českém území, v zahraničí, z českého území do zahraničí nebo ze zahraničí do českého území. Na položky ze seskupení 55 patří také členské příspěvky a podobné platby zahraničním právnickým osobám, jejichž protihodnotou jsou členská práva, a sankce placené Evropské unii.</w:t>
      </w:r>
    </w:p>
    <w:p w14:paraId="1D8EA06B" w14:textId="7679DE0F" w:rsidR="008A4C8A" w:rsidRPr="008A4C8A" w:rsidRDefault="008A4C8A" w:rsidP="00F00CFC">
      <w:pPr>
        <w:pStyle w:val="Nadpis3"/>
      </w:pPr>
      <w:bookmarkStart w:id="41" w:name="_Toc94609632"/>
      <w:r w:rsidRPr="008A4C8A">
        <w:t>Zásady k průtokovým transferům včetně příkladů položek</w:t>
      </w:r>
      <w:bookmarkEnd w:id="41"/>
      <w:r w:rsidRPr="008A4C8A">
        <w:t xml:space="preserve"> </w:t>
      </w:r>
    </w:p>
    <w:p w14:paraId="23C5CBD8" w14:textId="77777777" w:rsidR="008A4C8A" w:rsidRPr="008A4C8A" w:rsidRDefault="008A4C8A" w:rsidP="008A4C8A">
      <w:pPr>
        <w:spacing w:after="80"/>
        <w:jc w:val="both"/>
        <w:rPr>
          <w:rFonts w:cstheme="minorHAnsi"/>
          <w:bCs/>
        </w:rPr>
      </w:pPr>
      <w:r w:rsidRPr="008A4C8A">
        <w:rPr>
          <w:rFonts w:cstheme="minorHAnsi"/>
          <w:bCs/>
        </w:rPr>
        <w:t xml:space="preserve">(19) Zařazení výdajů na položku nezávisí na tom, byly-li provedeny přes prostředníka, s výjimkou transferů poskytovaných prostřednictvím krajů, obcí a dobrovolných svazků obcí jimi zřízeným příspěvkovým organizacím a školským právnickým osobám (k tomu náplně seskupení položek 52 a položek 5336 a 6356). </w:t>
      </w:r>
    </w:p>
    <w:p w14:paraId="1D008C4E" w14:textId="77777777" w:rsidR="008A4C8A" w:rsidRDefault="008A4C8A" w:rsidP="00AB03C7">
      <w:pPr>
        <w:pStyle w:val="Normlnweb"/>
        <w:spacing w:before="0" w:afterLines="80" w:after="192"/>
        <w:ind w:left="34"/>
        <w:jc w:val="both"/>
        <w:rPr>
          <w:rFonts w:asciiTheme="minorHAnsi" w:hAnsiTheme="minorHAnsi" w:cstheme="minorHAnsi"/>
          <w:color w:val="auto"/>
          <w:sz w:val="22"/>
          <w:szCs w:val="22"/>
        </w:rPr>
      </w:pPr>
    </w:p>
    <w:p w14:paraId="08071B76" w14:textId="03ACF35B" w:rsidR="00AB03C7" w:rsidRPr="008A4C8A" w:rsidRDefault="00AB03C7" w:rsidP="008A4C8A">
      <w:pPr>
        <w:pStyle w:val="Normlnweb"/>
        <w:spacing w:before="0" w:afterLines="80" w:after="192"/>
        <w:jc w:val="both"/>
        <w:rPr>
          <w:rFonts w:asciiTheme="minorHAnsi" w:hAnsiTheme="minorHAnsi" w:cstheme="minorHAnsi"/>
          <w:color w:val="auto"/>
          <w:sz w:val="22"/>
          <w:szCs w:val="22"/>
        </w:rPr>
      </w:pPr>
      <w:r w:rsidRPr="008A4C8A">
        <w:rPr>
          <w:rFonts w:asciiTheme="minorHAnsi" w:hAnsiTheme="minorHAnsi" w:cstheme="minorHAnsi"/>
          <w:color w:val="auto"/>
          <w:sz w:val="22"/>
          <w:szCs w:val="22"/>
        </w:rPr>
        <w:t xml:space="preserve">(36) Transfer je poskytnut určitým poskytovatelem určitému příjemci, jestliže je mezi nimi právní vztah poskytovatele a příjemce. Tento právní vztah vzniká rozhodnutím poskytovatele nebo veřejnoprávní smlouvou uzavřenou mezi poskytovatelem a příjemcem, jakou částku poskytovatel příjemci poskytne a případně jaké budou další práva a povinnosti obou v souvislosti s transferem. Tento právní vztah nevzniká mezi poskytovatelem a prostředníkem a mezi prostředníkem a příjemcem. Prostředníkem je v případě transferů subjekt, jemuž poskytovatel částku transferu poukáže nebo jinak předá s tím, aby ji poukázal nebo jinak předal příjemci, případně mu též pošle nebo předá související dokumenty s tím, aby je příjemci rovněž poslal nebo předal. Prostředník [např. kraj podle § 19 odst. 2 zákona č. 218/2000 Sb., o rozpočtových pravidlech a o změně některých souvisejících zákonů (rozpočtová pravidla), ve znění zákona č. 320/2002 Sb.] o právech a povinnostech příjemce souvisejících s transferem nerozhoduje a pouze plní příkaz poskytovatele k předávání peněžních částek a dokumentů. Poskytovatel ani příjemce při zařazování transferu na položku a paragraf rozpočtové skladby neberou skutečnost, že transfer je poskytován přes prostředníka, v úvahu. </w:t>
      </w:r>
    </w:p>
    <w:p w14:paraId="13B535C4" w14:textId="77777777" w:rsidR="00AB03C7" w:rsidRPr="00822908" w:rsidRDefault="00AB03C7" w:rsidP="00AB03C7">
      <w:pPr>
        <w:pStyle w:val="Normlnweb"/>
        <w:spacing w:before="0" w:afterLines="80" w:after="192"/>
        <w:ind w:left="34"/>
        <w:jc w:val="both"/>
        <w:rPr>
          <w:i/>
          <w:iCs/>
          <w:color w:val="auto"/>
        </w:rPr>
      </w:pPr>
      <w:r w:rsidRPr="00822908">
        <w:rPr>
          <w:b/>
          <w:bCs/>
          <w:i/>
          <w:iCs/>
          <w:color w:val="auto"/>
        </w:rPr>
        <w:t xml:space="preserve">Komentář: </w:t>
      </w:r>
      <w:r w:rsidRPr="00822908">
        <w:rPr>
          <w:i/>
          <w:iCs/>
          <w:color w:val="auto"/>
        </w:rPr>
        <w:t xml:space="preserve">Jednalo by se o dobrou zásadu, kdyby se však v praxi plně dodržovala. V každém případě je toto důležité pro obce při určování položky příjmů u transferů, kterou převede obci „prostředník“ – nejčastěji kraj. Položka se nevolí jako příjem od kraje, ale dle poskytovatele (např. 4111 – volby, 4112 – souhrnný vztah, 4116 ,4216 – dotace z resortů (ministerstev) apod. </w:t>
      </w:r>
    </w:p>
    <w:p w14:paraId="29DC6703" w14:textId="77777777" w:rsidR="00AB03C7" w:rsidRPr="00822908" w:rsidRDefault="00AB03C7" w:rsidP="00AB03C7">
      <w:pPr>
        <w:pStyle w:val="Normlnweb"/>
        <w:spacing w:before="0" w:afterLines="80" w:after="192"/>
        <w:ind w:left="34"/>
        <w:jc w:val="both"/>
        <w:rPr>
          <w:color w:val="auto"/>
        </w:rPr>
      </w:pPr>
    </w:p>
    <w:p w14:paraId="0768AA85" w14:textId="77777777" w:rsidR="00AB03C7" w:rsidRPr="008A4C8A" w:rsidRDefault="00AB03C7" w:rsidP="00AB03C7">
      <w:pPr>
        <w:pStyle w:val="Normlnweb"/>
        <w:spacing w:before="0" w:afterLines="80" w:after="192"/>
        <w:ind w:left="34"/>
        <w:jc w:val="both"/>
        <w:rPr>
          <w:rFonts w:asciiTheme="minorHAnsi" w:hAnsiTheme="minorHAnsi" w:cstheme="minorHAnsi"/>
          <w:color w:val="auto"/>
          <w:sz w:val="22"/>
          <w:szCs w:val="22"/>
        </w:rPr>
      </w:pPr>
      <w:r w:rsidRPr="008A4C8A">
        <w:rPr>
          <w:rFonts w:asciiTheme="minorHAnsi" w:hAnsiTheme="minorHAnsi" w:cstheme="minorHAnsi"/>
          <w:color w:val="auto"/>
          <w:sz w:val="22"/>
          <w:szCs w:val="22"/>
        </w:rPr>
        <w:t xml:space="preserve">(37) Odstavec 36 neplatí pro transfery příspěvkovým organizacím a školským právnickým osobám zřízeným obcemi, dobrovolnými svazky obcí a kraji poskytované prostřednictvím jejich zřizovatelů (§ 28 odst. 15 zákona č. 250/2000 Sb., o rozpočtových pravidlech územních rozpočtů, ve znění zákona č. 557/2004 Sb., zákona č. 562/2004 Sb., zákona č. 477/2008 Sb., zákona č. 465/2011 Sb. a zákona č. 24/2017 Sb., a § 133 odst. 3 zákona č. 561/2004 Sb., o předškolním, základním, středním, vyšším odborném a jiném vzdělávání, ve znění zákona č. 472/2011 Sb.). Transfery poskytované jim </w:t>
      </w:r>
      <w:r w:rsidRPr="008A4C8A">
        <w:rPr>
          <w:rFonts w:asciiTheme="minorHAnsi" w:hAnsiTheme="minorHAnsi" w:cstheme="minorHAnsi"/>
          <w:color w:val="auto"/>
          <w:sz w:val="22"/>
          <w:szCs w:val="22"/>
        </w:rPr>
        <w:lastRenderedPageBreak/>
        <w:t>prostřednictvím krajů, obcí a jejich zřizovatelů se zařazují na položky tak, jak je uvedeno v odstavcích 38 až 41.</w:t>
      </w:r>
    </w:p>
    <w:p w14:paraId="55626E48" w14:textId="77777777" w:rsidR="00AB03C7" w:rsidRPr="008A4C8A" w:rsidRDefault="00AB03C7" w:rsidP="00AB03C7">
      <w:pPr>
        <w:pStyle w:val="Normlnweb"/>
        <w:spacing w:before="0" w:afterLines="80" w:after="192"/>
        <w:ind w:left="34"/>
        <w:jc w:val="both"/>
        <w:rPr>
          <w:rFonts w:asciiTheme="minorHAnsi" w:hAnsiTheme="minorHAnsi" w:cstheme="minorHAnsi"/>
          <w:color w:val="auto"/>
          <w:sz w:val="22"/>
          <w:szCs w:val="22"/>
        </w:rPr>
      </w:pPr>
    </w:p>
    <w:p w14:paraId="3C2DA250" w14:textId="77777777" w:rsidR="00AB03C7" w:rsidRPr="008A4C8A" w:rsidRDefault="00AB03C7" w:rsidP="00AB03C7">
      <w:pPr>
        <w:spacing w:after="120"/>
        <w:jc w:val="both"/>
        <w:rPr>
          <w:rFonts w:cstheme="minorHAnsi"/>
        </w:rPr>
      </w:pPr>
      <w:r w:rsidRPr="008A4C8A">
        <w:rPr>
          <w:rFonts w:cstheme="minorHAnsi"/>
        </w:rPr>
        <w:t>(38) Transfer ze státního rozpočtu příspěvkové organizaci zřízené krajem zařadí poskytující organizační složka státu při poukázání kraji na položku 5323 nebo 6342 a kraj při přijetí ze státního rozpočtu ho zařadí na položku 4111, 4211, 4116 nebo 4216 a při poukázání své příspěvkové organizaci na položku 5336 nebo 6356. Transfer ze státního rozpočtu školské právnické osobě zřízené krajem zařadí poskytující organizační složka státu při poukázání kraji na položku 5323 nebo 6342 a kraj při přijetí ze státního rozpočtu ho zařadí na položku 4111, 4211, 4116 nebo 4216 a při poukázání své školské právnické osobě na položku 5333 nebo 6353.</w:t>
      </w:r>
    </w:p>
    <w:p w14:paraId="3DB8AEF4" w14:textId="77777777" w:rsidR="00AB03C7" w:rsidRPr="00822908" w:rsidRDefault="00AB03C7" w:rsidP="00AB03C7">
      <w:pPr>
        <w:spacing w:after="120"/>
        <w:jc w:val="both"/>
        <w:rPr>
          <w:rFonts w:ascii="Times New Roman" w:hAnsi="Times New Roman" w:cs="Times New Roman"/>
          <w:b/>
          <w:bCs/>
          <w:sz w:val="24"/>
          <w:szCs w:val="24"/>
        </w:rPr>
      </w:pPr>
    </w:p>
    <w:p w14:paraId="711CA2F3" w14:textId="77777777" w:rsidR="00AB03C7" w:rsidRPr="008A4C8A" w:rsidRDefault="00AB03C7" w:rsidP="00AB03C7">
      <w:pPr>
        <w:spacing w:after="120"/>
        <w:jc w:val="both"/>
        <w:rPr>
          <w:rFonts w:cstheme="minorHAnsi"/>
        </w:rPr>
      </w:pPr>
      <w:r w:rsidRPr="008A4C8A">
        <w:rPr>
          <w:rFonts w:cstheme="minorHAnsi"/>
        </w:rPr>
        <w:t>(39) Transfer ze státního rozpočtu příspěvkové organizaci zřízené obcí zařadí poskytující organizační složka státu při poukázání kraji na položku 5321 nebo 6341, kraj při přijetí ze státního rozpočtu ho zařadí na položku 4111, 4211, 4116 nebo 4216 a při poukázání obci na stejnou položku, na niž ho přijal, minusem a obec ho zařadí při přijetí od kraje na položku 4111, 4211, 4116 nebo 4216 a při poukázání své příspěvkové organizaci na položku 5336 nebo 6356. Transfer ze státního rozpočtu školské právnické osobě zřízené obcí zařadí poskytující organizační složka státu při poukázání kraji na položku 5321 nebo 6341, kraj při přijetí ze státního rozpočtu ho zařadí na položku 4111, 4211, 4116 nebo 4216 a při poukázání obci na stejnou položku, na niž ho přijal, minusem a obec ho zařadí při přijetí od kraje na položku 4111, 4211, 4116 nebo 4216 a při poukázání své školské právnické osobě na položku 5333 nebo 6353.</w:t>
      </w:r>
    </w:p>
    <w:p w14:paraId="72A43C16" w14:textId="77777777" w:rsidR="00AB03C7" w:rsidRPr="008A4C8A" w:rsidRDefault="00AB03C7" w:rsidP="00AB03C7">
      <w:pPr>
        <w:spacing w:after="120"/>
        <w:jc w:val="both"/>
        <w:rPr>
          <w:rFonts w:cstheme="minorHAnsi"/>
        </w:rPr>
      </w:pPr>
    </w:p>
    <w:p w14:paraId="21A202EB" w14:textId="77777777" w:rsidR="00AB03C7" w:rsidRPr="008A4C8A" w:rsidRDefault="00AB03C7" w:rsidP="00AB03C7">
      <w:pPr>
        <w:spacing w:after="120"/>
        <w:jc w:val="both"/>
        <w:rPr>
          <w:rFonts w:cstheme="minorHAnsi"/>
        </w:rPr>
      </w:pPr>
      <w:r w:rsidRPr="008A4C8A">
        <w:rPr>
          <w:rFonts w:cstheme="minorHAnsi"/>
        </w:rPr>
        <w:t>(40) Transfer ze státního rozpočtu příspěvkové organizaci zřízené dobrovolným svazkem obcí zařadí poskytující organizační složka státu na položku 5329 nebo 6349. Dobrovolný svazek obcí ho při přijetí zařadí na položku 4111, 4211, 4116 nebo 4216 a při poukázání své příspěvkové organizaci ho zařadí na položku 5336 nebo 6356. Transfer ze státního rozpočtu školské právnické osobě zřízené dobrovolným svazkem obcí zařadí poskytující organizační složka státu na položku 5329 nebo 6349. Dobrovolný svazek obcí ho při přijetí zařadí na položku 4111, 4211, 4116 nebo 4216 a při poukázání své školské právnické osobě ho zařadí na položku 5333 nebo 6353.</w:t>
      </w:r>
    </w:p>
    <w:p w14:paraId="5F56ACA3" w14:textId="77777777" w:rsidR="00AB03C7" w:rsidRPr="00822908" w:rsidRDefault="00AB03C7" w:rsidP="00AB03C7">
      <w:pPr>
        <w:spacing w:after="120"/>
        <w:jc w:val="both"/>
        <w:rPr>
          <w:rFonts w:ascii="Times New Roman" w:hAnsi="Times New Roman" w:cs="Times New Roman"/>
          <w:b/>
          <w:bCs/>
          <w:sz w:val="24"/>
          <w:szCs w:val="24"/>
        </w:rPr>
      </w:pPr>
    </w:p>
    <w:p w14:paraId="1B29DD0E" w14:textId="77777777" w:rsidR="00AB03C7" w:rsidRPr="008A4C8A" w:rsidRDefault="00AB03C7" w:rsidP="00AB03C7">
      <w:pPr>
        <w:spacing w:after="120"/>
        <w:jc w:val="both"/>
        <w:rPr>
          <w:rFonts w:cstheme="minorHAnsi"/>
        </w:rPr>
      </w:pPr>
      <w:r w:rsidRPr="008A4C8A">
        <w:rPr>
          <w:rFonts w:cstheme="minorHAnsi"/>
        </w:rPr>
        <w:t xml:space="preserve">(41) Transfer z rozpočtu </w:t>
      </w:r>
      <w:r w:rsidRPr="000033EA">
        <w:rPr>
          <w:rFonts w:cstheme="minorHAnsi"/>
          <w:b/>
          <w:bCs/>
        </w:rPr>
        <w:t>kraje příspěvkové organizaci</w:t>
      </w:r>
      <w:r w:rsidRPr="008A4C8A">
        <w:rPr>
          <w:rFonts w:cstheme="minorHAnsi"/>
        </w:rPr>
        <w:t xml:space="preserve"> zřízené obcí nebo dobrovolným svazkem obcí zařadí kraj při poukázání obci na položku 5321 nebo 6341 a při poukázání dobrovolnému svazku obcí na položku 5329 nebo 6349 a </w:t>
      </w:r>
      <w:r w:rsidRPr="00DC48EE">
        <w:rPr>
          <w:rFonts w:cstheme="minorHAnsi"/>
          <w:b/>
          <w:bCs/>
        </w:rPr>
        <w:t>obec nebo dobrovolný svazek obcí ho při přijetí zařadí na položku 4122 nebo 4222 a při poukázání své příspěvkové organizaci na položku 5336 nebo 6356.</w:t>
      </w:r>
      <w:r w:rsidRPr="008A4C8A">
        <w:rPr>
          <w:rFonts w:cstheme="minorHAnsi"/>
        </w:rPr>
        <w:t xml:space="preserve"> Transfer z rozpočtu kraje školské právnické osobě zřízené obcí nebo dobrovolným svazkem obcí zařadí kraj při poukázání obci na položku 5321 nebo 6341 a při poukázání dobrovolnému svazku obcí na položku 5329 nebo 6349 a obec nebo dobrovolný svazek obcí ho při přijetí zařadí na položku 4122 nebo 4222 a při poukázání své školské právnické osobě na položku 5333 nebo 6353.</w:t>
      </w:r>
    </w:p>
    <w:p w14:paraId="301234E2" w14:textId="36A3BF9B" w:rsidR="00AB03C7" w:rsidRPr="00822908" w:rsidRDefault="00AB03C7" w:rsidP="00AB03C7">
      <w:pPr>
        <w:spacing w:after="120"/>
        <w:jc w:val="both"/>
        <w:rPr>
          <w:rFonts w:ascii="Times New Roman" w:hAnsi="Times New Roman" w:cs="Times New Roman"/>
          <w:i/>
          <w:iCs/>
          <w:sz w:val="24"/>
          <w:szCs w:val="24"/>
        </w:rPr>
      </w:pPr>
      <w:r w:rsidRPr="00822908">
        <w:rPr>
          <w:rFonts w:ascii="Times New Roman" w:hAnsi="Times New Roman" w:cs="Times New Roman"/>
          <w:b/>
          <w:bCs/>
          <w:i/>
          <w:iCs/>
          <w:sz w:val="24"/>
          <w:szCs w:val="24"/>
        </w:rPr>
        <w:t>Komentář:</w:t>
      </w:r>
      <w:r w:rsidRPr="00822908">
        <w:rPr>
          <w:rFonts w:ascii="Times New Roman" w:hAnsi="Times New Roman" w:cs="Times New Roman"/>
          <w:i/>
          <w:iCs/>
          <w:sz w:val="24"/>
          <w:szCs w:val="24"/>
        </w:rPr>
        <w:t xml:space="preserve"> Odst. 38 až 41 určují volby položek krajům a obcím</w:t>
      </w:r>
      <w:r w:rsidR="008A4C8A">
        <w:rPr>
          <w:rFonts w:ascii="Times New Roman" w:hAnsi="Times New Roman" w:cs="Times New Roman"/>
          <w:i/>
          <w:iCs/>
          <w:sz w:val="24"/>
          <w:szCs w:val="24"/>
        </w:rPr>
        <w:t xml:space="preserve"> a DSO</w:t>
      </w:r>
      <w:r w:rsidRPr="00822908">
        <w:rPr>
          <w:rFonts w:ascii="Times New Roman" w:hAnsi="Times New Roman" w:cs="Times New Roman"/>
          <w:i/>
          <w:iCs/>
          <w:sz w:val="24"/>
          <w:szCs w:val="24"/>
        </w:rPr>
        <w:t xml:space="preserve"> v případě, kdy je přes ně poskytována dotace jejich zřizovaným příspěvkovým organizacím, a to jak u příjmů, tak u výdajů. Jedná se o poměrně podrobný návod na zatřídění uvedených případů.  </w:t>
      </w:r>
    </w:p>
    <w:p w14:paraId="458390ED" w14:textId="606E42A1" w:rsidR="00AB03C7" w:rsidRDefault="00AB03C7" w:rsidP="00AB03C7">
      <w:pPr>
        <w:jc w:val="both"/>
        <w:rPr>
          <w:rFonts w:ascii="Times New Roman" w:hAnsi="Times New Roman" w:cs="Times New Roman"/>
          <w:sz w:val="24"/>
          <w:szCs w:val="24"/>
        </w:rPr>
      </w:pPr>
    </w:p>
    <w:p w14:paraId="00FF0950" w14:textId="516B1B51" w:rsidR="008A4C8A" w:rsidRPr="008A4C8A" w:rsidRDefault="008A4C8A" w:rsidP="00F00CFC">
      <w:pPr>
        <w:pStyle w:val="Nadpis3"/>
      </w:pPr>
      <w:bookmarkStart w:id="42" w:name="_Toc94609633"/>
      <w:r w:rsidRPr="008A4C8A">
        <w:lastRenderedPageBreak/>
        <w:t>Výjimka pro zpětné značení nástrojem a prostorovým původem v běžném roce</w:t>
      </w:r>
      <w:bookmarkEnd w:id="42"/>
      <w:r w:rsidRPr="008A4C8A">
        <w:t xml:space="preserve"> </w:t>
      </w:r>
    </w:p>
    <w:p w14:paraId="3189363B" w14:textId="77777777" w:rsidR="00AB03C7" w:rsidRPr="008A4C8A" w:rsidRDefault="00AB03C7" w:rsidP="00AB03C7">
      <w:pPr>
        <w:spacing w:after="120"/>
        <w:jc w:val="both"/>
        <w:rPr>
          <w:rFonts w:cstheme="minorHAnsi"/>
        </w:rPr>
      </w:pPr>
      <w:r w:rsidRPr="008A4C8A">
        <w:rPr>
          <w:rFonts w:cstheme="minorHAnsi"/>
        </w:rPr>
        <w:t xml:space="preserve">(43) Jestliže kraj, obec nebo dobrovolný svazek obcí obdržely právní akt o poskytnutí transferu nebo půjčených peněžních prostředků na úhradu určitého okruhu výdajů a tento transfer nebo půjčené peněžní prostředky jsou určeny nejen na výdaje, které budou vynaloženy v budoucnu, ale i na výdaje již vynaložené, změní v údajích o výdajích, které byly vynaloženy od začátku roku a již zaznamenány a které do tohoto okruhu patří, zařazení na jednotky třídění, které plyne z tohoto právního aktu, zejména u nich uvede čísla účelových znaků podle § 29 vyhlášky. </w:t>
      </w:r>
    </w:p>
    <w:p w14:paraId="77F240E2" w14:textId="77777777" w:rsidR="00AB03C7" w:rsidRPr="00822908" w:rsidRDefault="00AB03C7" w:rsidP="00AB03C7">
      <w:pPr>
        <w:spacing w:after="80"/>
        <w:jc w:val="both"/>
        <w:rPr>
          <w:rFonts w:ascii="Times New Roman" w:hAnsi="Times New Roman" w:cs="Times New Roman"/>
          <w:i/>
          <w:iCs/>
          <w:sz w:val="24"/>
          <w:szCs w:val="24"/>
        </w:rPr>
      </w:pPr>
      <w:r w:rsidRPr="00822908">
        <w:rPr>
          <w:rFonts w:ascii="Times New Roman" w:hAnsi="Times New Roman" w:cs="Times New Roman"/>
          <w:b/>
          <w:bCs/>
          <w:i/>
          <w:iCs/>
          <w:sz w:val="24"/>
          <w:szCs w:val="24"/>
        </w:rPr>
        <w:t xml:space="preserve">Komentář: </w:t>
      </w:r>
      <w:r w:rsidRPr="00822908">
        <w:rPr>
          <w:rFonts w:ascii="Times New Roman" w:hAnsi="Times New Roman" w:cs="Times New Roman"/>
          <w:i/>
          <w:iCs/>
          <w:sz w:val="24"/>
          <w:szCs w:val="24"/>
        </w:rPr>
        <w:t xml:space="preserve">Tento bod řeší u obcí doplňování nástroje, prostorového původu a účelových znaků u výdajů (někdy i u příjmů) v případě přijetí právního aktu o přiznání transferu (rozhodnutí, smlouva…). Třídění se doplňuje i zpětně k výdajům i příjmům vzniklým před přijetím právního aktu v běžném roce. </w:t>
      </w:r>
    </w:p>
    <w:p w14:paraId="721CE523" w14:textId="23B01AEF" w:rsidR="00AB03C7" w:rsidRPr="00822908" w:rsidRDefault="00AB03C7" w:rsidP="00AB03C7">
      <w:pPr>
        <w:spacing w:after="80"/>
        <w:jc w:val="both"/>
        <w:rPr>
          <w:rStyle w:val="Siln"/>
          <w:rFonts w:ascii="Times New Roman" w:hAnsi="Times New Roman" w:cs="Times New Roman"/>
          <w:b w:val="0"/>
          <w:i/>
          <w:iCs/>
          <w:sz w:val="24"/>
          <w:szCs w:val="24"/>
        </w:rPr>
      </w:pPr>
      <w:r w:rsidRPr="00822908">
        <w:rPr>
          <w:rFonts w:ascii="Times New Roman" w:hAnsi="Times New Roman" w:cs="Times New Roman"/>
          <w:b/>
          <w:sz w:val="24"/>
          <w:szCs w:val="24"/>
        </w:rPr>
        <w:br w:type="page"/>
      </w:r>
    </w:p>
    <w:p w14:paraId="17A9C046" w14:textId="77777777" w:rsidR="00CF5F72" w:rsidRPr="00CF5F72" w:rsidRDefault="00CF5F72" w:rsidP="00CF5F72">
      <w:pPr>
        <w:autoSpaceDE w:val="0"/>
        <w:autoSpaceDN w:val="0"/>
        <w:adjustRightInd w:val="0"/>
        <w:spacing w:before="40" w:after="0" w:line="240" w:lineRule="auto"/>
        <w:rPr>
          <w:rFonts w:ascii="Times New Roman" w:hAnsi="Times New Roman" w:cs="Times New Roman"/>
          <w:sz w:val="24"/>
          <w:szCs w:val="24"/>
        </w:rPr>
      </w:pPr>
    </w:p>
    <w:sectPr w:rsidR="00CF5F72" w:rsidRPr="00CF5F7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8AA9" w14:textId="77777777" w:rsidR="00DF22F1" w:rsidRDefault="00DF22F1" w:rsidP="00CA6122">
      <w:pPr>
        <w:spacing w:after="0" w:line="240" w:lineRule="auto"/>
      </w:pPr>
      <w:r>
        <w:separator/>
      </w:r>
    </w:p>
  </w:endnote>
  <w:endnote w:type="continuationSeparator" w:id="0">
    <w:p w14:paraId="7C472B64" w14:textId="77777777" w:rsidR="00DF22F1" w:rsidRDefault="00DF22F1" w:rsidP="00CA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altName w:val="Cambria"/>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107B" w14:textId="77777777" w:rsidR="00DF22F1" w:rsidRDefault="00DF22F1" w:rsidP="00CA6122">
      <w:pPr>
        <w:spacing w:after="0" w:line="240" w:lineRule="auto"/>
      </w:pPr>
      <w:r>
        <w:separator/>
      </w:r>
    </w:p>
  </w:footnote>
  <w:footnote w:type="continuationSeparator" w:id="0">
    <w:p w14:paraId="0428C5BA" w14:textId="77777777" w:rsidR="00DF22F1" w:rsidRDefault="00DF22F1" w:rsidP="00CA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90127"/>
      <w:docPartObj>
        <w:docPartGallery w:val="Page Numbers (Top of Page)"/>
        <w:docPartUnique/>
      </w:docPartObj>
    </w:sdtPr>
    <w:sdtEndPr/>
    <w:sdtContent>
      <w:p w14:paraId="429F606F" w14:textId="6BBE0540" w:rsidR="00CA6122" w:rsidRDefault="00CA6122">
        <w:pPr>
          <w:pStyle w:val="Zhlav"/>
          <w:jc w:val="center"/>
        </w:pPr>
        <w:r>
          <w:fldChar w:fldCharType="begin"/>
        </w:r>
        <w:r>
          <w:instrText>PAGE   \* MERGEFORMAT</w:instrText>
        </w:r>
        <w:r>
          <w:fldChar w:fldCharType="separate"/>
        </w:r>
        <w:r>
          <w:t>2</w:t>
        </w:r>
        <w:r>
          <w:fldChar w:fldCharType="end"/>
        </w:r>
      </w:p>
    </w:sdtContent>
  </w:sdt>
  <w:p w14:paraId="50F5343D" w14:textId="77777777" w:rsidR="00CA6122" w:rsidRDefault="00CA61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0E3"/>
    <w:multiLevelType w:val="hybridMultilevel"/>
    <w:tmpl w:val="1DA22BCA"/>
    <w:lvl w:ilvl="0" w:tplc="04050001">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121309C9"/>
    <w:multiLevelType w:val="hybridMultilevel"/>
    <w:tmpl w:val="1C1E2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EA4BC3"/>
    <w:multiLevelType w:val="hybridMultilevel"/>
    <w:tmpl w:val="64FC77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DD6356"/>
    <w:multiLevelType w:val="hybridMultilevel"/>
    <w:tmpl w:val="4BA423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D676C7"/>
    <w:multiLevelType w:val="hybridMultilevel"/>
    <w:tmpl w:val="EA9856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1D60B3"/>
    <w:multiLevelType w:val="hybridMultilevel"/>
    <w:tmpl w:val="1C5AF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1C16B07"/>
    <w:multiLevelType w:val="hybridMultilevel"/>
    <w:tmpl w:val="3E48CFFC"/>
    <w:lvl w:ilvl="0" w:tplc="04050001">
      <w:start w:val="1"/>
      <w:numFmt w:val="bullet"/>
      <w:lvlText w:val=""/>
      <w:lvlJc w:val="left"/>
      <w:pPr>
        <w:ind w:left="180" w:hanging="18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1620" w:hanging="360"/>
      </w:pPr>
      <w:rPr>
        <w:rFonts w:ascii="Symbol" w:hAnsi="Symbol" w:hint="default"/>
      </w:rPr>
    </w:lvl>
    <w:lvl w:ilvl="4" w:tplc="04050003" w:tentative="1">
      <w:start w:val="1"/>
      <w:numFmt w:val="bullet"/>
      <w:lvlText w:val="o"/>
      <w:lvlJc w:val="left"/>
      <w:pPr>
        <w:ind w:left="-900" w:hanging="360"/>
      </w:pPr>
      <w:rPr>
        <w:rFonts w:ascii="Courier New" w:hAnsi="Courier New" w:cs="Courier New" w:hint="default"/>
      </w:rPr>
    </w:lvl>
    <w:lvl w:ilvl="5" w:tplc="04050005" w:tentative="1">
      <w:start w:val="1"/>
      <w:numFmt w:val="bullet"/>
      <w:lvlText w:val=""/>
      <w:lvlJc w:val="left"/>
      <w:pPr>
        <w:ind w:left="-180" w:hanging="360"/>
      </w:pPr>
      <w:rPr>
        <w:rFonts w:ascii="Wingdings" w:hAnsi="Wingdings" w:hint="default"/>
      </w:rPr>
    </w:lvl>
    <w:lvl w:ilvl="6" w:tplc="04050001" w:tentative="1">
      <w:start w:val="1"/>
      <w:numFmt w:val="bullet"/>
      <w:lvlText w:val=""/>
      <w:lvlJc w:val="left"/>
      <w:pPr>
        <w:ind w:left="540" w:hanging="360"/>
      </w:pPr>
      <w:rPr>
        <w:rFonts w:ascii="Symbol" w:hAnsi="Symbol" w:hint="default"/>
      </w:rPr>
    </w:lvl>
    <w:lvl w:ilvl="7" w:tplc="04050003" w:tentative="1">
      <w:start w:val="1"/>
      <w:numFmt w:val="bullet"/>
      <w:lvlText w:val="o"/>
      <w:lvlJc w:val="left"/>
      <w:pPr>
        <w:ind w:left="1260" w:hanging="360"/>
      </w:pPr>
      <w:rPr>
        <w:rFonts w:ascii="Courier New" w:hAnsi="Courier New" w:cs="Courier New" w:hint="default"/>
      </w:rPr>
    </w:lvl>
    <w:lvl w:ilvl="8" w:tplc="04050005" w:tentative="1">
      <w:start w:val="1"/>
      <w:numFmt w:val="bullet"/>
      <w:lvlText w:val=""/>
      <w:lvlJc w:val="left"/>
      <w:pPr>
        <w:ind w:left="1980" w:hanging="360"/>
      </w:pPr>
      <w:rPr>
        <w:rFonts w:ascii="Wingdings" w:hAnsi="Wingdings" w:hint="default"/>
      </w:rPr>
    </w:lvl>
  </w:abstractNum>
  <w:abstractNum w:abstractNumId="7" w15:restartNumberingAfterBreak="0">
    <w:nsid w:val="40CE734F"/>
    <w:multiLevelType w:val="hybridMultilevel"/>
    <w:tmpl w:val="B5FAF00C"/>
    <w:lvl w:ilvl="0" w:tplc="0EF641FE">
      <w:start w:val="1"/>
      <w:numFmt w:val="lowerLetter"/>
      <w:lvlText w:val="%1)"/>
      <w:lvlJc w:val="left"/>
      <w:pPr>
        <w:ind w:left="360" w:hanging="360"/>
      </w:pPr>
      <w:rPr>
        <w:rFonts w:hint="default"/>
      </w:rPr>
    </w:lvl>
    <w:lvl w:ilvl="1" w:tplc="7DB067F2">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904AAD"/>
    <w:multiLevelType w:val="hybridMultilevel"/>
    <w:tmpl w:val="3BC0BE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231E2B"/>
    <w:multiLevelType w:val="hybridMultilevel"/>
    <w:tmpl w:val="13D093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E97B83"/>
    <w:multiLevelType w:val="hybridMultilevel"/>
    <w:tmpl w:val="CBD2EB34"/>
    <w:lvl w:ilvl="0" w:tplc="BAD63AF0">
      <w:start w:val="1"/>
      <w:numFmt w:val="lowerLetter"/>
      <w:lvlText w:val="%1)"/>
      <w:lvlJc w:val="left"/>
      <w:pPr>
        <w:ind w:left="587" w:hanging="360"/>
      </w:pPr>
      <w:rPr>
        <w:rFonts w:ascii="Times New Roman" w:eastAsiaTheme="minorHAnsi" w:hAnsi="Times New Roman" w:cs="Times New Roman"/>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1" w15:restartNumberingAfterBreak="0">
    <w:nsid w:val="59C220E6"/>
    <w:multiLevelType w:val="hybridMultilevel"/>
    <w:tmpl w:val="EAE6F84E"/>
    <w:lvl w:ilvl="0" w:tplc="8024748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5512C1"/>
    <w:multiLevelType w:val="hybridMultilevel"/>
    <w:tmpl w:val="4CDC2852"/>
    <w:lvl w:ilvl="0" w:tplc="330A8EEA">
      <w:start w:val="1"/>
      <w:numFmt w:val="decimal"/>
      <w:lvlText w:val="%1."/>
      <w:lvlJc w:val="left"/>
      <w:pPr>
        <w:ind w:left="360" w:hanging="360"/>
      </w:pPr>
    </w:lvl>
    <w:lvl w:ilvl="1" w:tplc="3C62CF70">
      <w:start w:val="1"/>
      <w:numFmt w:val="lowerRoman"/>
      <w:lvlText w:val="%2)"/>
      <w:lvlJc w:val="left"/>
      <w:pPr>
        <w:ind w:left="2010" w:hanging="93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0"/>
  </w:num>
  <w:num w:numId="5">
    <w:abstractNumId w:val="7"/>
  </w:num>
  <w:num w:numId="6">
    <w:abstractNumId w:val="2"/>
  </w:num>
  <w:num w:numId="7">
    <w:abstractNumId w:val="8"/>
  </w:num>
  <w:num w:numId="8">
    <w:abstractNumId w:val="1"/>
  </w:num>
  <w:num w:numId="9">
    <w:abstractNumId w:val="4"/>
  </w:num>
  <w:num w:numId="10">
    <w:abstractNumId w:val="3"/>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88"/>
    <w:rsid w:val="000033EA"/>
    <w:rsid w:val="00052441"/>
    <w:rsid w:val="00131A88"/>
    <w:rsid w:val="0022465C"/>
    <w:rsid w:val="002B6983"/>
    <w:rsid w:val="0032699F"/>
    <w:rsid w:val="003539E5"/>
    <w:rsid w:val="003B0F32"/>
    <w:rsid w:val="003D367B"/>
    <w:rsid w:val="004102E5"/>
    <w:rsid w:val="00433926"/>
    <w:rsid w:val="0045534D"/>
    <w:rsid w:val="00466E1B"/>
    <w:rsid w:val="004A428C"/>
    <w:rsid w:val="004C1CEE"/>
    <w:rsid w:val="00530EE2"/>
    <w:rsid w:val="005578D4"/>
    <w:rsid w:val="0056792E"/>
    <w:rsid w:val="00592B8A"/>
    <w:rsid w:val="005F74AB"/>
    <w:rsid w:val="00631914"/>
    <w:rsid w:val="006406AD"/>
    <w:rsid w:val="006B04EA"/>
    <w:rsid w:val="006B5AC3"/>
    <w:rsid w:val="006E2BF7"/>
    <w:rsid w:val="0073105C"/>
    <w:rsid w:val="00780F9D"/>
    <w:rsid w:val="007A7192"/>
    <w:rsid w:val="007B12F1"/>
    <w:rsid w:val="007C0D75"/>
    <w:rsid w:val="00822908"/>
    <w:rsid w:val="0083195D"/>
    <w:rsid w:val="00891D85"/>
    <w:rsid w:val="008A4C8A"/>
    <w:rsid w:val="008B31AA"/>
    <w:rsid w:val="008D76BC"/>
    <w:rsid w:val="00903BDF"/>
    <w:rsid w:val="00912D0F"/>
    <w:rsid w:val="0092610E"/>
    <w:rsid w:val="00935E94"/>
    <w:rsid w:val="00940FD0"/>
    <w:rsid w:val="00946652"/>
    <w:rsid w:val="0097688B"/>
    <w:rsid w:val="00977BD6"/>
    <w:rsid w:val="00980818"/>
    <w:rsid w:val="009D45E0"/>
    <w:rsid w:val="009F1001"/>
    <w:rsid w:val="00A24CC7"/>
    <w:rsid w:val="00A252A9"/>
    <w:rsid w:val="00A54E85"/>
    <w:rsid w:val="00A87B64"/>
    <w:rsid w:val="00AB03C7"/>
    <w:rsid w:val="00B0165F"/>
    <w:rsid w:val="00B61C45"/>
    <w:rsid w:val="00BA4C2D"/>
    <w:rsid w:val="00BB00CA"/>
    <w:rsid w:val="00C02A5F"/>
    <w:rsid w:val="00C06828"/>
    <w:rsid w:val="00C40C00"/>
    <w:rsid w:val="00CA6122"/>
    <w:rsid w:val="00CD63F9"/>
    <w:rsid w:val="00CF5F72"/>
    <w:rsid w:val="00D32851"/>
    <w:rsid w:val="00D41990"/>
    <w:rsid w:val="00DC48EE"/>
    <w:rsid w:val="00DF22F1"/>
    <w:rsid w:val="00E12FB3"/>
    <w:rsid w:val="00E26B23"/>
    <w:rsid w:val="00E45444"/>
    <w:rsid w:val="00E476B3"/>
    <w:rsid w:val="00E8226D"/>
    <w:rsid w:val="00E83CD8"/>
    <w:rsid w:val="00ED5FF8"/>
    <w:rsid w:val="00ED7DB5"/>
    <w:rsid w:val="00EF133A"/>
    <w:rsid w:val="00F00CFC"/>
    <w:rsid w:val="00F25650"/>
    <w:rsid w:val="00F61E71"/>
    <w:rsid w:val="00F67890"/>
    <w:rsid w:val="00F7587C"/>
    <w:rsid w:val="00F8195D"/>
    <w:rsid w:val="00F848B5"/>
    <w:rsid w:val="00FB62CE"/>
    <w:rsid w:val="00FB7405"/>
    <w:rsid w:val="00FC38C8"/>
    <w:rsid w:val="00FD2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A1E2"/>
  <w15:chartTrackingRefBased/>
  <w15:docId w15:val="{5C05CFA8-D8FF-4F92-9703-B1ECC4F0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4C8A"/>
  </w:style>
  <w:style w:type="paragraph" w:styleId="Nadpis1">
    <w:name w:val="heading 1"/>
    <w:basedOn w:val="Normln"/>
    <w:next w:val="Normln"/>
    <w:link w:val="Nadpis1Char"/>
    <w:uiPriority w:val="9"/>
    <w:qFormat/>
    <w:rsid w:val="006B0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C1C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00C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131A88"/>
    <w:pPr>
      <w:autoSpaceDN w:val="0"/>
      <w:spacing w:after="0" w:line="240" w:lineRule="auto"/>
      <w:ind w:left="720"/>
      <w:contextualSpacing/>
      <w:textAlignment w:val="baseline"/>
    </w:pPr>
    <w:rPr>
      <w:rFonts w:ascii="Times New Roman" w:eastAsia="Times New Roman" w:hAnsi="Times New Roman" w:cs="Times New Roman"/>
      <w:sz w:val="24"/>
      <w:szCs w:val="24"/>
      <w:lang w:eastAsia="cs-CZ"/>
    </w:rPr>
  </w:style>
  <w:style w:type="paragraph" w:customStyle="1" w:styleId="Default">
    <w:name w:val="Default"/>
    <w:rsid w:val="00C02A5F"/>
    <w:pPr>
      <w:autoSpaceDE w:val="0"/>
      <w:autoSpaceDN w:val="0"/>
      <w:adjustRightInd w:val="0"/>
      <w:spacing w:after="0" w:line="240" w:lineRule="auto"/>
    </w:pPr>
    <w:rPr>
      <w:rFonts w:ascii="Minion Pro" w:hAnsi="Minion Pro" w:cs="Minion Pro"/>
      <w:color w:val="000000"/>
      <w:sz w:val="24"/>
      <w:szCs w:val="24"/>
    </w:rPr>
  </w:style>
  <w:style w:type="paragraph" w:customStyle="1" w:styleId="Pa7">
    <w:name w:val="Pa7"/>
    <w:basedOn w:val="Default"/>
    <w:next w:val="Default"/>
    <w:uiPriority w:val="99"/>
    <w:rsid w:val="00C02A5F"/>
    <w:pPr>
      <w:spacing w:line="221" w:lineRule="atLeast"/>
    </w:pPr>
    <w:rPr>
      <w:rFonts w:cstheme="minorBidi"/>
      <w:color w:val="auto"/>
    </w:rPr>
  </w:style>
  <w:style w:type="character" w:customStyle="1" w:styleId="A4">
    <w:name w:val="A4"/>
    <w:uiPriority w:val="99"/>
    <w:rsid w:val="00C02A5F"/>
    <w:rPr>
      <w:rFonts w:cs="Minion Pro"/>
      <w:i/>
      <w:iCs/>
      <w:color w:val="000000"/>
      <w:sz w:val="22"/>
      <w:szCs w:val="22"/>
      <w:u w:val="single"/>
    </w:rPr>
  </w:style>
  <w:style w:type="character" w:customStyle="1" w:styleId="Nadpis1Char">
    <w:name w:val="Nadpis 1 Char"/>
    <w:basedOn w:val="Standardnpsmoodstavce"/>
    <w:link w:val="Nadpis1"/>
    <w:uiPriority w:val="9"/>
    <w:rsid w:val="006B04E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C1CEE"/>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CA61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6122"/>
  </w:style>
  <w:style w:type="paragraph" w:styleId="Zpat">
    <w:name w:val="footer"/>
    <w:basedOn w:val="Normln"/>
    <w:link w:val="ZpatChar"/>
    <w:uiPriority w:val="99"/>
    <w:unhideWhenUsed/>
    <w:rsid w:val="00CA6122"/>
    <w:pPr>
      <w:tabs>
        <w:tab w:val="center" w:pos="4536"/>
        <w:tab w:val="right" w:pos="9072"/>
      </w:tabs>
      <w:spacing w:after="0" w:line="240" w:lineRule="auto"/>
    </w:pPr>
  </w:style>
  <w:style w:type="character" w:customStyle="1" w:styleId="ZpatChar">
    <w:name w:val="Zápatí Char"/>
    <w:basedOn w:val="Standardnpsmoodstavce"/>
    <w:link w:val="Zpat"/>
    <w:uiPriority w:val="99"/>
    <w:rsid w:val="00CA6122"/>
  </w:style>
  <w:style w:type="paragraph" w:customStyle="1" w:styleId="Pa38">
    <w:name w:val="Pa38"/>
    <w:basedOn w:val="Default"/>
    <w:next w:val="Default"/>
    <w:uiPriority w:val="99"/>
    <w:rsid w:val="00946652"/>
    <w:pPr>
      <w:spacing w:line="221" w:lineRule="atLeast"/>
    </w:pPr>
    <w:rPr>
      <w:rFonts w:cstheme="minorBidi"/>
      <w:color w:val="auto"/>
    </w:rPr>
  </w:style>
  <w:style w:type="paragraph" w:customStyle="1" w:styleId="Pa39">
    <w:name w:val="Pa39"/>
    <w:basedOn w:val="Default"/>
    <w:next w:val="Default"/>
    <w:uiPriority w:val="99"/>
    <w:rsid w:val="00946652"/>
    <w:pPr>
      <w:spacing w:line="221" w:lineRule="atLeast"/>
    </w:pPr>
    <w:rPr>
      <w:rFonts w:cstheme="minorBidi"/>
      <w:color w:val="auto"/>
    </w:rPr>
  </w:style>
  <w:style w:type="paragraph" w:customStyle="1" w:styleId="Pa48">
    <w:name w:val="Pa48"/>
    <w:basedOn w:val="Default"/>
    <w:next w:val="Default"/>
    <w:uiPriority w:val="99"/>
    <w:rsid w:val="00946652"/>
    <w:pPr>
      <w:spacing w:line="221" w:lineRule="atLeast"/>
    </w:pPr>
    <w:rPr>
      <w:rFonts w:cstheme="minorBidi"/>
      <w:color w:val="auto"/>
    </w:rPr>
  </w:style>
  <w:style w:type="paragraph" w:customStyle="1" w:styleId="Pa8">
    <w:name w:val="Pa8"/>
    <w:basedOn w:val="Default"/>
    <w:next w:val="Default"/>
    <w:uiPriority w:val="99"/>
    <w:rsid w:val="00B0165F"/>
    <w:pPr>
      <w:spacing w:line="221" w:lineRule="atLeast"/>
    </w:pPr>
    <w:rPr>
      <w:rFonts w:cstheme="minorBidi"/>
      <w:color w:val="auto"/>
    </w:rPr>
  </w:style>
  <w:style w:type="character" w:styleId="Siln">
    <w:name w:val="Strong"/>
    <w:qFormat/>
    <w:rsid w:val="00AB03C7"/>
    <w:rPr>
      <w:b/>
      <w:bCs/>
    </w:rPr>
  </w:style>
  <w:style w:type="paragraph" w:styleId="Normlnweb">
    <w:name w:val="Normal (Web)"/>
    <w:basedOn w:val="Normln"/>
    <w:rsid w:val="00AB03C7"/>
    <w:pPr>
      <w:spacing w:before="84" w:after="100" w:line="240" w:lineRule="auto"/>
      <w:ind w:left="33"/>
    </w:pPr>
    <w:rPr>
      <w:rFonts w:ascii="Times New Roman" w:eastAsia="Times New Roman" w:hAnsi="Times New Roman" w:cs="Times New Roman"/>
      <w:color w:val="444444"/>
      <w:sz w:val="24"/>
      <w:szCs w:val="24"/>
      <w:lang w:eastAsia="cs-CZ"/>
    </w:rPr>
  </w:style>
  <w:style w:type="paragraph" w:styleId="Obsah1">
    <w:name w:val="toc 1"/>
    <w:basedOn w:val="Normln"/>
    <w:next w:val="Normln"/>
    <w:autoRedefine/>
    <w:uiPriority w:val="39"/>
    <w:unhideWhenUsed/>
    <w:rsid w:val="00F25650"/>
    <w:pPr>
      <w:spacing w:after="100"/>
    </w:pPr>
  </w:style>
  <w:style w:type="paragraph" w:styleId="Obsah2">
    <w:name w:val="toc 2"/>
    <w:basedOn w:val="Normln"/>
    <w:next w:val="Normln"/>
    <w:autoRedefine/>
    <w:uiPriority w:val="39"/>
    <w:unhideWhenUsed/>
    <w:rsid w:val="00F25650"/>
    <w:pPr>
      <w:spacing w:after="100"/>
      <w:ind w:left="220"/>
    </w:pPr>
  </w:style>
  <w:style w:type="character" w:styleId="Hypertextovodkaz">
    <w:name w:val="Hyperlink"/>
    <w:basedOn w:val="Standardnpsmoodstavce"/>
    <w:uiPriority w:val="99"/>
    <w:unhideWhenUsed/>
    <w:rsid w:val="00F25650"/>
    <w:rPr>
      <w:color w:val="0563C1" w:themeColor="hyperlink"/>
      <w:u w:val="single"/>
    </w:rPr>
  </w:style>
  <w:style w:type="character" w:customStyle="1" w:styleId="Nadpis3Char">
    <w:name w:val="Nadpis 3 Char"/>
    <w:basedOn w:val="Standardnpsmoodstavce"/>
    <w:link w:val="Nadpis3"/>
    <w:uiPriority w:val="9"/>
    <w:rsid w:val="00F00CFC"/>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F00C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9160">
      <w:bodyDiv w:val="1"/>
      <w:marLeft w:val="0"/>
      <w:marRight w:val="0"/>
      <w:marTop w:val="0"/>
      <w:marBottom w:val="0"/>
      <w:divBdr>
        <w:top w:val="none" w:sz="0" w:space="0" w:color="auto"/>
        <w:left w:val="none" w:sz="0" w:space="0" w:color="auto"/>
        <w:bottom w:val="none" w:sz="0" w:space="0" w:color="auto"/>
        <w:right w:val="none" w:sz="0" w:space="0" w:color="auto"/>
      </w:divBdr>
    </w:div>
    <w:div w:id="1316957137">
      <w:bodyDiv w:val="1"/>
      <w:marLeft w:val="0"/>
      <w:marRight w:val="0"/>
      <w:marTop w:val="0"/>
      <w:marBottom w:val="0"/>
      <w:divBdr>
        <w:top w:val="none" w:sz="0" w:space="0" w:color="auto"/>
        <w:left w:val="none" w:sz="0" w:space="0" w:color="auto"/>
        <w:bottom w:val="none" w:sz="0" w:space="0" w:color="auto"/>
        <w:right w:val="none" w:sz="0" w:space="0" w:color="auto"/>
      </w:divBdr>
    </w:div>
    <w:div w:id="1373993361">
      <w:bodyDiv w:val="1"/>
      <w:marLeft w:val="0"/>
      <w:marRight w:val="0"/>
      <w:marTop w:val="0"/>
      <w:marBottom w:val="0"/>
      <w:divBdr>
        <w:top w:val="none" w:sz="0" w:space="0" w:color="auto"/>
        <w:left w:val="none" w:sz="0" w:space="0" w:color="auto"/>
        <w:bottom w:val="none" w:sz="0" w:space="0" w:color="auto"/>
        <w:right w:val="none" w:sz="0" w:space="0" w:color="auto"/>
      </w:divBdr>
    </w:div>
    <w:div w:id="20370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fcr.cz/cs/legislativa/legislativni-dokumenty/2021/vyhlaska-c-412-2021-sb-43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9734</Words>
  <Characters>57436</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2022-01-31T16:36:00Z</cp:lastPrinted>
  <dcterms:created xsi:type="dcterms:W3CDTF">2022-02-08T15:16:00Z</dcterms:created>
  <dcterms:modified xsi:type="dcterms:W3CDTF">2022-02-08T15:16:00Z</dcterms:modified>
</cp:coreProperties>
</file>