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2F60" w14:textId="0899CBDF" w:rsidR="006838A5" w:rsidRPr="0059406C" w:rsidRDefault="00ED6831" w:rsidP="0059406C">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Účtování na investičním účtu</w:t>
      </w:r>
    </w:p>
    <w:p w14:paraId="48CAF94C" w14:textId="77777777" w:rsidR="0090719D" w:rsidRDefault="0090719D" w:rsidP="0090719D">
      <w:pPr>
        <w:jc w:val="both"/>
        <w:rPr>
          <w:rFonts w:ascii="Times New Roman" w:hAnsi="Times New Roman" w:cs="Times New Roman"/>
          <w:b/>
          <w:bCs/>
          <w:sz w:val="24"/>
          <w:szCs w:val="24"/>
        </w:rPr>
      </w:pPr>
    </w:p>
    <w:p w14:paraId="5AB62F47" w14:textId="6A7FED99" w:rsidR="00E55B1D" w:rsidRDefault="00B3360F" w:rsidP="0090719D">
      <w:pPr>
        <w:jc w:val="both"/>
        <w:rPr>
          <w:rFonts w:ascii="Times New Roman" w:hAnsi="Times New Roman" w:cs="Times New Roman"/>
          <w:b/>
          <w:bCs/>
          <w:sz w:val="24"/>
          <w:szCs w:val="24"/>
        </w:rPr>
      </w:pPr>
      <w:r>
        <w:rPr>
          <w:rFonts w:ascii="Times New Roman" w:hAnsi="Times New Roman" w:cs="Times New Roman"/>
          <w:b/>
          <w:bCs/>
          <w:sz w:val="24"/>
          <w:szCs w:val="24"/>
        </w:rPr>
        <w:t>Dotaz:</w:t>
      </w:r>
    </w:p>
    <w:p w14:paraId="2A4429F8" w14:textId="22A704EA" w:rsidR="00ED6831" w:rsidRPr="00CA6B30" w:rsidRDefault="00E55B1D" w:rsidP="0090719D">
      <w:pPr>
        <w:jc w:val="both"/>
        <w:rPr>
          <w:rFonts w:ascii="Times New Roman" w:hAnsi="Times New Roman" w:cs="Times New Roman"/>
          <w:i/>
          <w:iCs/>
          <w:sz w:val="24"/>
          <w:szCs w:val="24"/>
        </w:rPr>
      </w:pPr>
      <w:r>
        <w:rPr>
          <w:rFonts w:ascii="Times New Roman" w:hAnsi="Times New Roman" w:cs="Times New Roman"/>
          <w:i/>
          <w:iCs/>
          <w:sz w:val="24"/>
          <w:szCs w:val="24"/>
        </w:rPr>
        <w:t xml:space="preserve">Zastupitelstvo obce </w:t>
      </w:r>
      <w:r w:rsidR="00ED6831" w:rsidRPr="006C74DF">
        <w:rPr>
          <w:rFonts w:ascii="Times New Roman" w:hAnsi="Times New Roman" w:cs="Times New Roman"/>
          <w:i/>
          <w:iCs/>
          <w:sz w:val="24"/>
          <w:szCs w:val="24"/>
        </w:rPr>
        <w:t>schválilo investici ve výši 2 mil. Kč</w:t>
      </w:r>
      <w:r w:rsidR="006C74DF" w:rsidRPr="006C74DF">
        <w:rPr>
          <w:rFonts w:ascii="Times New Roman" w:hAnsi="Times New Roman" w:cs="Times New Roman"/>
          <w:i/>
          <w:iCs/>
          <w:sz w:val="24"/>
          <w:szCs w:val="24"/>
        </w:rPr>
        <w:t>.</w:t>
      </w:r>
      <w:r>
        <w:rPr>
          <w:rFonts w:ascii="Times New Roman" w:hAnsi="Times New Roman" w:cs="Times New Roman"/>
          <w:i/>
          <w:iCs/>
          <w:sz w:val="24"/>
          <w:szCs w:val="24"/>
        </w:rPr>
        <w:t xml:space="preserve"> </w:t>
      </w:r>
      <w:r w:rsidR="00ED6831" w:rsidRPr="006C74DF">
        <w:rPr>
          <w:rFonts w:ascii="Times New Roman" w:hAnsi="Times New Roman" w:cs="Times New Roman"/>
          <w:i/>
          <w:iCs/>
          <w:sz w:val="24"/>
          <w:szCs w:val="24"/>
        </w:rPr>
        <w:t xml:space="preserve">Jedná se o produkt </w:t>
      </w:r>
      <w:proofErr w:type="spellStart"/>
      <w:r w:rsidR="00ED6831" w:rsidRPr="006C74DF">
        <w:rPr>
          <w:rFonts w:ascii="Times New Roman" w:hAnsi="Times New Roman" w:cs="Times New Roman"/>
          <w:i/>
          <w:iCs/>
          <w:sz w:val="24"/>
          <w:szCs w:val="24"/>
        </w:rPr>
        <w:t>Conseq</w:t>
      </w:r>
      <w:proofErr w:type="spellEnd"/>
      <w:r w:rsidR="00ED6831" w:rsidRPr="006C74DF">
        <w:rPr>
          <w:rFonts w:ascii="Times New Roman" w:hAnsi="Times New Roman" w:cs="Times New Roman"/>
          <w:i/>
          <w:iCs/>
          <w:sz w:val="24"/>
          <w:szCs w:val="24"/>
        </w:rPr>
        <w:t xml:space="preserve"> </w:t>
      </w:r>
      <w:proofErr w:type="spellStart"/>
      <w:r w:rsidR="00ED6831" w:rsidRPr="006C74DF">
        <w:rPr>
          <w:rFonts w:ascii="Times New Roman" w:hAnsi="Times New Roman" w:cs="Times New Roman"/>
          <w:i/>
          <w:iCs/>
          <w:sz w:val="24"/>
          <w:szCs w:val="24"/>
        </w:rPr>
        <w:t>depozitní+OPF</w:t>
      </w:r>
      <w:proofErr w:type="spellEnd"/>
      <w:r w:rsidR="00CA6B30">
        <w:rPr>
          <w:rFonts w:ascii="Times New Roman" w:hAnsi="Times New Roman" w:cs="Times New Roman"/>
          <w:i/>
          <w:iCs/>
          <w:sz w:val="24"/>
          <w:szCs w:val="24"/>
        </w:rPr>
        <w:t xml:space="preserve"> </w:t>
      </w:r>
      <w:r w:rsidR="00ED6831" w:rsidRPr="006C74DF">
        <w:rPr>
          <w:rFonts w:ascii="Times New Roman" w:hAnsi="Times New Roman" w:cs="Times New Roman"/>
          <w:i/>
          <w:iCs/>
          <w:sz w:val="24"/>
          <w:szCs w:val="24"/>
        </w:rPr>
        <w:t>(CZK).</w:t>
      </w:r>
      <w:r w:rsidR="00CA6B30">
        <w:rPr>
          <w:rFonts w:ascii="Times New Roman" w:hAnsi="Times New Roman" w:cs="Times New Roman"/>
          <w:i/>
          <w:iCs/>
          <w:sz w:val="24"/>
          <w:szCs w:val="24"/>
        </w:rPr>
        <w:t xml:space="preserve"> </w:t>
      </w:r>
      <w:r w:rsidR="00CA6B30" w:rsidRPr="00CA6B30">
        <w:rPr>
          <w:rFonts w:ascii="Times New Roman" w:hAnsi="Times New Roman" w:cs="Times New Roman"/>
          <w:i/>
          <w:iCs/>
          <w:sz w:val="24"/>
          <w:szCs w:val="24"/>
        </w:rPr>
        <w:t>Zatím mám pouze účtován</w:t>
      </w:r>
      <w:r w:rsidR="000C1A31">
        <w:rPr>
          <w:rFonts w:ascii="Times New Roman" w:hAnsi="Times New Roman" w:cs="Times New Roman"/>
          <w:i/>
          <w:iCs/>
          <w:sz w:val="24"/>
          <w:szCs w:val="24"/>
        </w:rPr>
        <w:t xml:space="preserve"> převod z BÚ </w:t>
      </w:r>
      <w:r w:rsidR="00CA6B30" w:rsidRPr="00CA6B30">
        <w:rPr>
          <w:rFonts w:ascii="Times New Roman" w:hAnsi="Times New Roman" w:cs="Times New Roman"/>
          <w:i/>
          <w:iCs/>
          <w:sz w:val="24"/>
          <w:szCs w:val="24"/>
        </w:rPr>
        <w:t>251</w:t>
      </w:r>
      <w:r w:rsidR="00CA6B30">
        <w:rPr>
          <w:rFonts w:ascii="Times New Roman" w:hAnsi="Times New Roman" w:cs="Times New Roman"/>
          <w:i/>
          <w:iCs/>
          <w:sz w:val="24"/>
          <w:szCs w:val="24"/>
        </w:rPr>
        <w:t xml:space="preserve"> </w:t>
      </w:r>
      <w:r w:rsidR="00CA6B30" w:rsidRPr="00CA6B30">
        <w:rPr>
          <w:rFonts w:ascii="Times New Roman" w:hAnsi="Times New Roman" w:cs="Times New Roman"/>
          <w:i/>
          <w:iCs/>
          <w:sz w:val="24"/>
          <w:szCs w:val="24"/>
        </w:rPr>
        <w:t>MD/</w:t>
      </w:r>
      <w:r w:rsidR="00CA6B30">
        <w:rPr>
          <w:rFonts w:ascii="Times New Roman" w:hAnsi="Times New Roman" w:cs="Times New Roman"/>
          <w:i/>
          <w:iCs/>
          <w:sz w:val="24"/>
          <w:szCs w:val="24"/>
        </w:rPr>
        <w:t xml:space="preserve"> </w:t>
      </w:r>
      <w:r w:rsidR="00CA6B30" w:rsidRPr="00CA6B30">
        <w:rPr>
          <w:rFonts w:ascii="Times New Roman" w:hAnsi="Times New Roman" w:cs="Times New Roman"/>
          <w:i/>
          <w:iCs/>
          <w:sz w:val="24"/>
          <w:szCs w:val="24"/>
        </w:rPr>
        <w:t>231 D po</w:t>
      </w:r>
      <w:r w:rsidR="00CA6B30">
        <w:rPr>
          <w:rFonts w:ascii="Times New Roman" w:hAnsi="Times New Roman" w:cs="Times New Roman"/>
          <w:i/>
          <w:iCs/>
          <w:sz w:val="24"/>
          <w:szCs w:val="24"/>
        </w:rPr>
        <w:t>l.</w:t>
      </w:r>
      <w:r w:rsidR="00CA6B30" w:rsidRPr="00CA6B30">
        <w:rPr>
          <w:rFonts w:ascii="Times New Roman" w:hAnsi="Times New Roman" w:cs="Times New Roman"/>
          <w:i/>
          <w:iCs/>
          <w:sz w:val="24"/>
          <w:szCs w:val="24"/>
        </w:rPr>
        <w:t xml:space="preserve"> 8118 2 mil. Kč</w:t>
      </w:r>
      <w:r w:rsidR="00CA6B30">
        <w:rPr>
          <w:rFonts w:ascii="Times New Roman" w:hAnsi="Times New Roman" w:cs="Times New Roman"/>
          <w:i/>
          <w:iCs/>
          <w:sz w:val="24"/>
          <w:szCs w:val="24"/>
        </w:rPr>
        <w:t>. Na výpise jsou ale i jiné položky, tak nevím, zda mám</w:t>
      </w:r>
      <w:r w:rsidR="000C1A31">
        <w:rPr>
          <w:rFonts w:ascii="Times New Roman" w:hAnsi="Times New Roman" w:cs="Times New Roman"/>
          <w:i/>
          <w:iCs/>
          <w:sz w:val="24"/>
          <w:szCs w:val="24"/>
        </w:rPr>
        <w:t xml:space="preserve"> k 31.12.2024</w:t>
      </w:r>
      <w:r w:rsidR="00CA6B30">
        <w:rPr>
          <w:rFonts w:ascii="Times New Roman" w:hAnsi="Times New Roman" w:cs="Times New Roman"/>
          <w:i/>
          <w:iCs/>
          <w:sz w:val="24"/>
          <w:szCs w:val="24"/>
        </w:rPr>
        <w:t xml:space="preserve"> zaúčtováno správně.</w:t>
      </w:r>
    </w:p>
    <w:p w14:paraId="140AD947" w14:textId="5DFC3E5E" w:rsidR="00ED6831" w:rsidRPr="006C74DF" w:rsidRDefault="00CA6B30" w:rsidP="0090719D">
      <w:pPr>
        <w:jc w:val="both"/>
        <w:rPr>
          <w:rFonts w:ascii="Times New Roman" w:hAnsi="Times New Roman" w:cs="Times New Roman"/>
          <w:i/>
          <w:iCs/>
          <w:sz w:val="24"/>
          <w:szCs w:val="24"/>
        </w:rPr>
      </w:pPr>
      <w:r>
        <w:rPr>
          <w:rFonts w:ascii="Times New Roman" w:hAnsi="Times New Roman" w:cs="Times New Roman"/>
          <w:i/>
          <w:iCs/>
          <w:sz w:val="24"/>
          <w:szCs w:val="24"/>
        </w:rPr>
        <w:t>V</w:t>
      </w:r>
      <w:r w:rsidR="00E55B1D">
        <w:rPr>
          <w:rFonts w:ascii="Times New Roman" w:hAnsi="Times New Roman" w:cs="Times New Roman"/>
          <w:i/>
          <w:iCs/>
          <w:sz w:val="24"/>
          <w:szCs w:val="24"/>
        </w:rPr>
        <w:t xml:space="preserve">ýpis přikládám níže. </w:t>
      </w:r>
    </w:p>
    <w:p w14:paraId="54A6FEBF" w14:textId="77777777" w:rsidR="00ED6831" w:rsidRDefault="00ED6831" w:rsidP="0090719D">
      <w:pPr>
        <w:jc w:val="both"/>
        <w:rPr>
          <w:rFonts w:ascii="Times New Roman" w:hAnsi="Times New Roman" w:cs="Times New Roman"/>
          <w:b/>
          <w:bCs/>
          <w:sz w:val="24"/>
          <w:szCs w:val="24"/>
        </w:rPr>
      </w:pPr>
    </w:p>
    <w:p w14:paraId="66778671" w14:textId="72CB95AA" w:rsidR="00ED6831" w:rsidRPr="00ED6831" w:rsidRDefault="00ED6831" w:rsidP="0090719D">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5D2D1D9" wp14:editId="5841E3C3">
            <wp:extent cx="5760720" cy="3637280"/>
            <wp:effectExtent l="0" t="0" r="0" b="1270"/>
            <wp:docPr id="10880379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37280"/>
                    </a:xfrm>
                    <a:prstGeom prst="rect">
                      <a:avLst/>
                    </a:prstGeom>
                    <a:noFill/>
                    <a:ln>
                      <a:noFill/>
                    </a:ln>
                  </pic:spPr>
                </pic:pic>
              </a:graphicData>
            </a:graphic>
          </wp:inline>
        </w:drawing>
      </w:r>
    </w:p>
    <w:p w14:paraId="400E05E4" w14:textId="77777777" w:rsidR="00ED6831" w:rsidRDefault="00ED6831" w:rsidP="0090719D">
      <w:pPr>
        <w:jc w:val="both"/>
        <w:rPr>
          <w:rFonts w:ascii="Times New Roman" w:hAnsi="Times New Roman" w:cs="Times New Roman"/>
          <w:b/>
          <w:bCs/>
          <w:sz w:val="24"/>
          <w:szCs w:val="24"/>
        </w:rPr>
      </w:pPr>
    </w:p>
    <w:p w14:paraId="0E6357DD" w14:textId="7F6EF5FC" w:rsidR="00A302B7" w:rsidRDefault="00A302B7" w:rsidP="0090719D">
      <w:pPr>
        <w:jc w:val="both"/>
        <w:rPr>
          <w:rFonts w:ascii="Times New Roman" w:hAnsi="Times New Roman" w:cs="Times New Roman"/>
          <w:b/>
          <w:bCs/>
          <w:sz w:val="24"/>
          <w:szCs w:val="24"/>
        </w:rPr>
      </w:pPr>
      <w:r>
        <w:rPr>
          <w:rFonts w:ascii="Times New Roman" w:hAnsi="Times New Roman" w:cs="Times New Roman"/>
          <w:b/>
          <w:bCs/>
          <w:sz w:val="24"/>
          <w:szCs w:val="24"/>
        </w:rPr>
        <w:t>Odpověď:</w:t>
      </w:r>
    </w:p>
    <w:p w14:paraId="1E979D2A" w14:textId="3CB2977C" w:rsidR="001478A5" w:rsidRPr="001478A5" w:rsidRDefault="001478A5" w:rsidP="0090719D">
      <w:pPr>
        <w:jc w:val="both"/>
        <w:rPr>
          <w:rFonts w:ascii="Times New Roman" w:hAnsi="Times New Roman" w:cs="Times New Roman"/>
          <w:sz w:val="24"/>
          <w:szCs w:val="24"/>
        </w:rPr>
      </w:pPr>
      <w:r w:rsidRPr="001478A5">
        <w:rPr>
          <w:rFonts w:ascii="Times New Roman" w:hAnsi="Times New Roman" w:cs="Times New Roman"/>
          <w:sz w:val="24"/>
          <w:szCs w:val="24"/>
        </w:rPr>
        <w:t>Podle výpisu jste měla účtovat takto:</w:t>
      </w:r>
    </w:p>
    <w:p w14:paraId="441DF178" w14:textId="63C1C49E" w:rsidR="001478A5" w:rsidRPr="001478A5" w:rsidRDefault="001478A5" w:rsidP="0090719D">
      <w:pPr>
        <w:jc w:val="both"/>
        <w:rPr>
          <w:rFonts w:ascii="Times New Roman" w:hAnsi="Times New Roman" w:cs="Times New Roman"/>
          <w:sz w:val="24"/>
          <w:szCs w:val="24"/>
        </w:rPr>
      </w:pPr>
      <w:r w:rsidRPr="001478A5">
        <w:rPr>
          <w:rFonts w:ascii="Times New Roman" w:hAnsi="Times New Roman" w:cs="Times New Roman"/>
          <w:sz w:val="24"/>
          <w:szCs w:val="24"/>
        </w:rPr>
        <w:t xml:space="preserve">1 997 004,79 </w:t>
      </w:r>
      <w:proofErr w:type="gramStart"/>
      <w:r w:rsidRPr="001478A5">
        <w:rPr>
          <w:rFonts w:ascii="Times New Roman" w:hAnsi="Times New Roman" w:cs="Times New Roman"/>
          <w:sz w:val="24"/>
          <w:szCs w:val="24"/>
        </w:rPr>
        <w:t>Kč - částka</w:t>
      </w:r>
      <w:proofErr w:type="gramEnd"/>
      <w:r w:rsidRPr="001478A5">
        <w:rPr>
          <w:rFonts w:ascii="Times New Roman" w:hAnsi="Times New Roman" w:cs="Times New Roman"/>
          <w:sz w:val="24"/>
          <w:szCs w:val="24"/>
        </w:rPr>
        <w:t xml:space="preserve"> investice, která se měla zaúčtovat 251 MD/ 231 D s pol. 8118. </w:t>
      </w:r>
    </w:p>
    <w:p w14:paraId="4BC561AF" w14:textId="0F9F4D00" w:rsidR="001478A5" w:rsidRPr="001478A5" w:rsidRDefault="001478A5" w:rsidP="0090719D">
      <w:pPr>
        <w:jc w:val="both"/>
        <w:rPr>
          <w:rFonts w:ascii="Times New Roman" w:hAnsi="Times New Roman" w:cs="Times New Roman"/>
          <w:sz w:val="24"/>
          <w:szCs w:val="24"/>
        </w:rPr>
      </w:pPr>
      <w:r w:rsidRPr="001478A5">
        <w:rPr>
          <w:rFonts w:ascii="Times New Roman" w:hAnsi="Times New Roman" w:cs="Times New Roman"/>
          <w:sz w:val="24"/>
          <w:szCs w:val="24"/>
        </w:rPr>
        <w:t xml:space="preserve">2995,21 </w:t>
      </w:r>
      <w:proofErr w:type="gramStart"/>
      <w:r w:rsidRPr="001478A5">
        <w:rPr>
          <w:rFonts w:ascii="Times New Roman" w:hAnsi="Times New Roman" w:cs="Times New Roman"/>
          <w:sz w:val="24"/>
          <w:szCs w:val="24"/>
        </w:rPr>
        <w:t>Kč - vstupní</w:t>
      </w:r>
      <w:proofErr w:type="gramEnd"/>
      <w:r w:rsidRPr="001478A5">
        <w:rPr>
          <w:rFonts w:ascii="Times New Roman" w:hAnsi="Times New Roman" w:cs="Times New Roman"/>
          <w:sz w:val="24"/>
          <w:szCs w:val="24"/>
        </w:rPr>
        <w:t xml:space="preserve"> poplatek po zaokrouhlení (aby součet dal zaslanou částku), který si strhli ze zaslané částky, tato částka se měla zaúčtovat 569 MD/ 231 D odpa 6310 pol. 5163. </w:t>
      </w:r>
    </w:p>
    <w:p w14:paraId="6E414F49" w14:textId="67C9B74A" w:rsidR="001478A5" w:rsidRPr="001478A5" w:rsidRDefault="001478A5" w:rsidP="0090719D">
      <w:pPr>
        <w:jc w:val="both"/>
        <w:rPr>
          <w:rFonts w:ascii="Times New Roman" w:hAnsi="Times New Roman" w:cs="Times New Roman"/>
          <w:sz w:val="24"/>
          <w:szCs w:val="24"/>
        </w:rPr>
      </w:pPr>
      <w:r w:rsidRPr="001478A5">
        <w:rPr>
          <w:rFonts w:ascii="Times New Roman" w:hAnsi="Times New Roman" w:cs="Times New Roman"/>
          <w:sz w:val="24"/>
          <w:szCs w:val="24"/>
        </w:rPr>
        <w:t xml:space="preserve">Nejprve opravte prvotní </w:t>
      </w:r>
      <w:proofErr w:type="gramStart"/>
      <w:r w:rsidRPr="001478A5">
        <w:rPr>
          <w:rFonts w:ascii="Times New Roman" w:hAnsi="Times New Roman" w:cs="Times New Roman"/>
          <w:sz w:val="24"/>
          <w:szCs w:val="24"/>
        </w:rPr>
        <w:t>platbu - částku</w:t>
      </w:r>
      <w:proofErr w:type="gramEnd"/>
      <w:r w:rsidRPr="001478A5">
        <w:rPr>
          <w:rFonts w:ascii="Times New Roman" w:hAnsi="Times New Roman" w:cs="Times New Roman"/>
          <w:sz w:val="24"/>
          <w:szCs w:val="24"/>
        </w:rPr>
        <w:t xml:space="preserve"> 2995,21 Kč přeúčtujte zápisem 251 minus MD/ 231 pol. 8118 minus D a 569 MD/ 231 D 6310 5163. </w:t>
      </w:r>
    </w:p>
    <w:p w14:paraId="5A8BA61E" w14:textId="77777777" w:rsidR="001478A5" w:rsidRPr="001478A5" w:rsidRDefault="001478A5" w:rsidP="0090719D">
      <w:pPr>
        <w:jc w:val="both"/>
        <w:rPr>
          <w:rFonts w:ascii="Times New Roman" w:hAnsi="Times New Roman" w:cs="Times New Roman"/>
          <w:sz w:val="24"/>
          <w:szCs w:val="24"/>
        </w:rPr>
      </w:pPr>
      <w:r w:rsidRPr="001478A5">
        <w:rPr>
          <w:rFonts w:ascii="Times New Roman" w:hAnsi="Times New Roman" w:cs="Times New Roman"/>
          <w:sz w:val="24"/>
          <w:szCs w:val="24"/>
        </w:rPr>
        <w:t xml:space="preserve">Tím se dostanete na prvotní ocenění cenných </w:t>
      </w:r>
      <w:proofErr w:type="gramStart"/>
      <w:r w:rsidRPr="001478A5">
        <w:rPr>
          <w:rFonts w:ascii="Times New Roman" w:hAnsi="Times New Roman" w:cs="Times New Roman"/>
          <w:sz w:val="24"/>
          <w:szCs w:val="24"/>
        </w:rPr>
        <w:t>papírů - počet</w:t>
      </w:r>
      <w:proofErr w:type="gramEnd"/>
      <w:r w:rsidRPr="001478A5">
        <w:rPr>
          <w:rFonts w:ascii="Times New Roman" w:hAnsi="Times New Roman" w:cs="Times New Roman"/>
          <w:sz w:val="24"/>
          <w:szCs w:val="24"/>
        </w:rPr>
        <w:t xml:space="preserve"> 1639577 s cenou 1,218 za kus (celkem 1 997 004,79 Kč).</w:t>
      </w:r>
    </w:p>
    <w:p w14:paraId="3A70BDD1" w14:textId="7A672071" w:rsidR="001478A5" w:rsidRPr="0096015E" w:rsidRDefault="001478A5" w:rsidP="0090719D">
      <w:pPr>
        <w:jc w:val="both"/>
        <w:rPr>
          <w:rFonts w:ascii="Times New Roman" w:hAnsi="Times New Roman" w:cs="Times New Roman"/>
          <w:sz w:val="24"/>
          <w:szCs w:val="24"/>
        </w:rPr>
      </w:pPr>
      <w:r w:rsidRPr="0096015E">
        <w:rPr>
          <w:rFonts w:ascii="Times New Roman" w:hAnsi="Times New Roman" w:cs="Times New Roman"/>
          <w:sz w:val="24"/>
          <w:szCs w:val="24"/>
        </w:rPr>
        <w:t xml:space="preserve">Jako další musíme řešit přecenění na RH. K 31.12.2024 zaúčtujete zápis 251 MD/ 664 D 9345,58 Kč. Tím dostanete na účet 251 hodnotu, která je </w:t>
      </w:r>
      <w:r w:rsidR="0096015E" w:rsidRPr="0096015E">
        <w:rPr>
          <w:rFonts w:ascii="Times New Roman" w:hAnsi="Times New Roman" w:cs="Times New Roman"/>
          <w:sz w:val="24"/>
          <w:szCs w:val="24"/>
        </w:rPr>
        <w:t xml:space="preserve">ve </w:t>
      </w:r>
      <w:r w:rsidRPr="0096015E">
        <w:rPr>
          <w:rFonts w:ascii="Times New Roman" w:hAnsi="Times New Roman" w:cs="Times New Roman"/>
          <w:sz w:val="24"/>
          <w:szCs w:val="24"/>
        </w:rPr>
        <w:t>výpisu tržní hodnotou k 31.12.</w:t>
      </w:r>
      <w:r w:rsidR="0096015E" w:rsidRPr="0096015E">
        <w:rPr>
          <w:rFonts w:ascii="Times New Roman" w:hAnsi="Times New Roman" w:cs="Times New Roman"/>
          <w:sz w:val="24"/>
          <w:szCs w:val="24"/>
        </w:rPr>
        <w:t xml:space="preserve">: </w:t>
      </w:r>
      <w:r w:rsidRPr="0096015E">
        <w:rPr>
          <w:rFonts w:ascii="Times New Roman" w:hAnsi="Times New Roman" w:cs="Times New Roman"/>
          <w:sz w:val="24"/>
          <w:szCs w:val="24"/>
        </w:rPr>
        <w:t xml:space="preserve">2 </w:t>
      </w:r>
      <w:r w:rsidRPr="0096015E">
        <w:rPr>
          <w:rFonts w:ascii="Times New Roman" w:hAnsi="Times New Roman" w:cs="Times New Roman"/>
          <w:sz w:val="24"/>
          <w:szCs w:val="24"/>
        </w:rPr>
        <w:lastRenderedPageBreak/>
        <w:t>006 350,37 Kč. Nevychází to na jednotkovou cenu 1,22 Kč, kterou tam uvádí, ale vyjdeme z celkové ceny (mají tam datum jednotkové ceny 27.12., tak možná proto).</w:t>
      </w:r>
    </w:p>
    <w:p w14:paraId="122ECA81" w14:textId="77777777" w:rsidR="001478A5" w:rsidRPr="0096015E" w:rsidRDefault="001478A5" w:rsidP="0090719D">
      <w:pPr>
        <w:jc w:val="both"/>
        <w:rPr>
          <w:rFonts w:ascii="Times New Roman" w:hAnsi="Times New Roman" w:cs="Times New Roman"/>
          <w:sz w:val="24"/>
          <w:szCs w:val="24"/>
        </w:rPr>
      </w:pPr>
      <w:r w:rsidRPr="0096015E">
        <w:rPr>
          <w:rFonts w:ascii="Times New Roman" w:hAnsi="Times New Roman" w:cs="Times New Roman"/>
          <w:sz w:val="24"/>
          <w:szCs w:val="24"/>
        </w:rPr>
        <w:t>Stav účtu k 31.12.2024 je ale 2 006 320 Kč. Rozdíl tvoří poplatek za výpis 30 Kč.  Zaúčtujete ho 569 MD/ 251 D, když jste ho neplatili z BÚ, ale strhli si ho z hodnoty investice. </w:t>
      </w:r>
    </w:p>
    <w:p w14:paraId="281B6698" w14:textId="77777777" w:rsidR="001478A5" w:rsidRPr="0096015E" w:rsidRDefault="001478A5" w:rsidP="0090719D">
      <w:pPr>
        <w:jc w:val="both"/>
        <w:rPr>
          <w:rFonts w:ascii="Times New Roman" w:hAnsi="Times New Roman" w:cs="Times New Roman"/>
          <w:sz w:val="24"/>
          <w:szCs w:val="24"/>
        </w:rPr>
      </w:pPr>
      <w:r w:rsidRPr="0096015E">
        <w:rPr>
          <w:rFonts w:ascii="Times New Roman" w:hAnsi="Times New Roman" w:cs="Times New Roman"/>
          <w:sz w:val="24"/>
          <w:szCs w:val="24"/>
        </w:rPr>
        <w:t>Po těchto všech zápisech byste na účtu 251 měla mít celkovou hodnotu portfolia 2 006 320 Kč. </w:t>
      </w:r>
    </w:p>
    <w:p w14:paraId="7F8384CD" w14:textId="38206DC2" w:rsidR="002A2CB4" w:rsidRDefault="002A2CB4" w:rsidP="001478A5">
      <w:pPr>
        <w:rPr>
          <w:rFonts w:ascii="Times New Roman" w:hAnsi="Times New Roman" w:cs="Times New Roman"/>
          <w:b/>
          <w:bCs/>
          <w:sz w:val="24"/>
          <w:szCs w:val="24"/>
        </w:rPr>
      </w:pPr>
      <w:r>
        <w:rPr>
          <w:rFonts w:ascii="Times New Roman" w:hAnsi="Times New Roman" w:cs="Times New Roman"/>
          <w:b/>
          <w:bCs/>
          <w:sz w:val="24"/>
          <w:szCs w:val="24"/>
        </w:rPr>
        <w:t xml:space="preserve">Na závěr si dovolím </w:t>
      </w:r>
      <w:r w:rsidR="00EC5EB6">
        <w:rPr>
          <w:rFonts w:ascii="Times New Roman" w:hAnsi="Times New Roman" w:cs="Times New Roman"/>
          <w:b/>
          <w:bCs/>
          <w:sz w:val="24"/>
          <w:szCs w:val="24"/>
        </w:rPr>
        <w:t xml:space="preserve">obecný </w:t>
      </w:r>
      <w:r>
        <w:rPr>
          <w:rFonts w:ascii="Times New Roman" w:hAnsi="Times New Roman" w:cs="Times New Roman"/>
          <w:b/>
          <w:bCs/>
          <w:sz w:val="24"/>
          <w:szCs w:val="24"/>
        </w:rPr>
        <w:t>výklad k některým aspektům finančních investic</w:t>
      </w:r>
      <w:r w:rsidR="00EC5EB6">
        <w:rPr>
          <w:rFonts w:ascii="Times New Roman" w:hAnsi="Times New Roman" w:cs="Times New Roman"/>
          <w:b/>
          <w:bCs/>
          <w:sz w:val="24"/>
          <w:szCs w:val="24"/>
        </w:rPr>
        <w:t>.</w:t>
      </w:r>
      <w:r>
        <w:rPr>
          <w:rFonts w:ascii="Times New Roman" w:hAnsi="Times New Roman" w:cs="Times New Roman"/>
          <w:b/>
          <w:bCs/>
          <w:sz w:val="24"/>
          <w:szCs w:val="24"/>
        </w:rPr>
        <w:t xml:space="preserve"> </w:t>
      </w:r>
    </w:p>
    <w:p w14:paraId="5F820935" w14:textId="77777777" w:rsidR="002A2CB4" w:rsidRDefault="002A2CB4" w:rsidP="001478A5">
      <w:pPr>
        <w:rPr>
          <w:rFonts w:ascii="Times New Roman" w:hAnsi="Times New Roman" w:cs="Times New Roman"/>
          <w:b/>
          <w:bCs/>
          <w:sz w:val="24"/>
          <w:szCs w:val="24"/>
        </w:rPr>
      </w:pPr>
    </w:p>
    <w:p w14:paraId="3E3BA3BE" w14:textId="0EEA9AD0" w:rsidR="001478A5" w:rsidRPr="009F732E" w:rsidRDefault="001478A5" w:rsidP="001478A5">
      <w:pPr>
        <w:rPr>
          <w:rFonts w:ascii="Times New Roman" w:hAnsi="Times New Roman" w:cs="Times New Roman"/>
          <w:b/>
          <w:bCs/>
          <w:sz w:val="24"/>
          <w:szCs w:val="24"/>
        </w:rPr>
      </w:pPr>
      <w:r>
        <w:rPr>
          <w:rFonts w:ascii="Times New Roman" w:hAnsi="Times New Roman" w:cs="Times New Roman"/>
          <w:b/>
          <w:bCs/>
          <w:sz w:val="24"/>
          <w:szCs w:val="24"/>
        </w:rPr>
        <w:t xml:space="preserve">Schvalování </w:t>
      </w:r>
      <w:r w:rsidR="002A2CB4">
        <w:rPr>
          <w:rFonts w:ascii="Times New Roman" w:hAnsi="Times New Roman" w:cs="Times New Roman"/>
          <w:b/>
          <w:bCs/>
          <w:sz w:val="24"/>
          <w:szCs w:val="24"/>
        </w:rPr>
        <w:t>finanční investice</w:t>
      </w:r>
    </w:p>
    <w:p w14:paraId="005FCD9A" w14:textId="77777777" w:rsidR="00FA4A51" w:rsidRDefault="002A2CB4" w:rsidP="00FA4A51">
      <w:pPr>
        <w:jc w:val="both"/>
        <w:rPr>
          <w:rFonts w:ascii="Times New Roman" w:hAnsi="Times New Roman" w:cs="Times New Roman"/>
          <w:sz w:val="24"/>
          <w:szCs w:val="24"/>
        </w:rPr>
      </w:pPr>
      <w:r w:rsidRPr="002A2CB4">
        <w:rPr>
          <w:rFonts w:ascii="Times New Roman" w:hAnsi="Times New Roman" w:cs="Times New Roman"/>
          <w:sz w:val="24"/>
          <w:szCs w:val="24"/>
        </w:rPr>
        <w:t>Z hlediska schvalovacích procesů u ÚSC je nutné nechat schválit nákup akcií (viz pravomoc ZO dle § 85 písm. e) – peněžité i nepeněžité vklady do právnických osob).</w:t>
      </w:r>
    </w:p>
    <w:p w14:paraId="1EA014E5" w14:textId="1EC79CF5" w:rsidR="00FA4A51" w:rsidRDefault="002A2CB4" w:rsidP="00FA4A51">
      <w:pPr>
        <w:jc w:val="both"/>
        <w:rPr>
          <w:rFonts w:ascii="Times New Roman" w:hAnsi="Times New Roman" w:cs="Times New Roman"/>
          <w:sz w:val="24"/>
          <w:szCs w:val="24"/>
        </w:rPr>
      </w:pPr>
      <w:r w:rsidRPr="002A2CB4">
        <w:rPr>
          <w:rFonts w:ascii="Times New Roman" w:hAnsi="Times New Roman" w:cs="Times New Roman"/>
          <w:sz w:val="24"/>
          <w:szCs w:val="24"/>
        </w:rPr>
        <w:t xml:space="preserve">Investice v rámci portfolia mohou být různorodé, v praxi se řeší např. schválením vkladu do správy portfolia a konkrétní smlouvy. Obecně je ale nakládání s prostředky obcí a jejich likvidita pro zastupitele důležitou informací (je to určité omezení v nakládání s penězi obce), proto je vhodné i drobnější, méně rizikové finanční investice typu termínovaný účet apod. dát ZO alespoň na vědomí (pokud se jedná o významnější finanční objemy z pohledu hospodaření a díky dané investici nebude moci obec po určitou dobu dané prostředky využívat). Kromě případného schválení samotné investice je nutné provést rozpočtové opatření na příslušné položce investice, nejčastěji se jedná o položky financování 8118, 8128, 8117, 8127. </w:t>
      </w:r>
    </w:p>
    <w:p w14:paraId="7345CC8F" w14:textId="7E4E595F" w:rsidR="001478A5" w:rsidRPr="002A2CB4" w:rsidRDefault="002A2CB4" w:rsidP="00FA4A51">
      <w:pPr>
        <w:jc w:val="both"/>
        <w:rPr>
          <w:rFonts w:ascii="Times New Roman" w:hAnsi="Times New Roman" w:cs="Times New Roman"/>
          <w:sz w:val="24"/>
          <w:szCs w:val="24"/>
        </w:rPr>
      </w:pPr>
      <w:r w:rsidRPr="002A2CB4">
        <w:rPr>
          <w:rFonts w:ascii="Times New Roman" w:hAnsi="Times New Roman" w:cs="Times New Roman"/>
          <w:sz w:val="24"/>
          <w:szCs w:val="24"/>
        </w:rPr>
        <w:t>Povinnost rozpočtového opatření: Z hlediska zákon č. 250/2000 Sb. ve vazbě na §16, odst. 4 se nejedná v případě záporného financování (pol. 8118,8128) a rozpočtově nezajištěný výdej. V Pokynu MF k RS je u definice výdaje financování vyjmuto. Rozpočtové opatření tedy není povinné, pokud však nejsou jednotlivé položky financování schválené jako závazný ukazatel rozpočtu, pak musí RO provést zastupitelstvo. Jinak je možné RO provést jen v rámci rozpisu rozpočtu</w:t>
      </w:r>
    </w:p>
    <w:p w14:paraId="4D946B78" w14:textId="77777777" w:rsidR="001478A5" w:rsidRDefault="001478A5" w:rsidP="00ED6831">
      <w:pPr>
        <w:rPr>
          <w:rFonts w:ascii="Times New Roman" w:hAnsi="Times New Roman" w:cs="Times New Roman"/>
          <w:b/>
          <w:bCs/>
          <w:sz w:val="24"/>
          <w:szCs w:val="24"/>
        </w:rPr>
      </w:pPr>
    </w:p>
    <w:p w14:paraId="3EE7FC07" w14:textId="3907F700" w:rsidR="00FA4A51" w:rsidRDefault="00FA4A51" w:rsidP="00ED6831">
      <w:pPr>
        <w:rPr>
          <w:rFonts w:ascii="Times New Roman" w:hAnsi="Times New Roman" w:cs="Times New Roman"/>
          <w:b/>
          <w:bCs/>
          <w:sz w:val="24"/>
          <w:szCs w:val="24"/>
        </w:rPr>
      </w:pPr>
      <w:r>
        <w:rPr>
          <w:rFonts w:ascii="Times New Roman" w:hAnsi="Times New Roman" w:cs="Times New Roman"/>
          <w:b/>
          <w:bCs/>
          <w:sz w:val="24"/>
          <w:szCs w:val="24"/>
        </w:rPr>
        <w:t>Portfoliový účet</w:t>
      </w:r>
    </w:p>
    <w:p w14:paraId="7B1E171F" w14:textId="77777777" w:rsidR="00FA4A51" w:rsidRDefault="00FA4A51" w:rsidP="00FA4A51">
      <w:pPr>
        <w:jc w:val="both"/>
        <w:rPr>
          <w:rFonts w:ascii="Times New Roman" w:hAnsi="Times New Roman" w:cs="Times New Roman"/>
          <w:sz w:val="24"/>
          <w:szCs w:val="24"/>
        </w:rPr>
      </w:pPr>
      <w:r w:rsidRPr="00FA4A51">
        <w:rPr>
          <w:rFonts w:ascii="Times New Roman" w:hAnsi="Times New Roman" w:cs="Times New Roman"/>
          <w:sz w:val="24"/>
          <w:szCs w:val="24"/>
        </w:rPr>
        <w:t xml:space="preserve">V souvislosti s nákupem cenných papírů je potřeba nezaměňovat pojem „portfoliový účet“ s pojmem „majetkový </w:t>
      </w:r>
      <w:r>
        <w:rPr>
          <w:rFonts w:ascii="Times New Roman" w:hAnsi="Times New Roman" w:cs="Times New Roman"/>
          <w:sz w:val="24"/>
          <w:szCs w:val="24"/>
        </w:rPr>
        <w:t xml:space="preserve">(investiční) </w:t>
      </w:r>
      <w:r w:rsidRPr="00FA4A51">
        <w:rPr>
          <w:rFonts w:ascii="Times New Roman" w:hAnsi="Times New Roman" w:cs="Times New Roman"/>
          <w:sz w:val="24"/>
          <w:szCs w:val="24"/>
        </w:rPr>
        <w:t>účet klienta“ a pojmem portfolio</w:t>
      </w:r>
      <w:r>
        <w:rPr>
          <w:rFonts w:ascii="Times New Roman" w:hAnsi="Times New Roman" w:cs="Times New Roman"/>
          <w:sz w:val="24"/>
          <w:szCs w:val="24"/>
        </w:rPr>
        <w:t>.</w:t>
      </w:r>
    </w:p>
    <w:p w14:paraId="248800A6" w14:textId="77777777" w:rsidR="00FA4A51" w:rsidRDefault="00FA4A51" w:rsidP="00FA4A51">
      <w:pPr>
        <w:jc w:val="both"/>
        <w:rPr>
          <w:rFonts w:ascii="Times New Roman" w:hAnsi="Times New Roman" w:cs="Times New Roman"/>
          <w:sz w:val="24"/>
          <w:szCs w:val="24"/>
        </w:rPr>
      </w:pPr>
      <w:r w:rsidRPr="00FA4A51">
        <w:rPr>
          <w:rFonts w:ascii="Times New Roman" w:hAnsi="Times New Roman" w:cs="Times New Roman"/>
          <w:sz w:val="24"/>
          <w:szCs w:val="24"/>
        </w:rPr>
        <w:t>Portfoliový účet: Běžný (bankovní) účet, ze ZBÚ se na něj převádí prostředky a následně se investice pořizují přímo z portfoliového účtu, jako dalšího ZBÚ</w:t>
      </w:r>
      <w:r>
        <w:rPr>
          <w:rFonts w:ascii="Times New Roman" w:hAnsi="Times New Roman" w:cs="Times New Roman"/>
          <w:sz w:val="24"/>
          <w:szCs w:val="24"/>
        </w:rPr>
        <w:t>.</w:t>
      </w:r>
    </w:p>
    <w:p w14:paraId="3D40D496" w14:textId="77777777" w:rsidR="00696C7E" w:rsidRDefault="00FA4A51" w:rsidP="00FA4A51">
      <w:pPr>
        <w:jc w:val="both"/>
        <w:rPr>
          <w:rFonts w:ascii="Times New Roman" w:hAnsi="Times New Roman" w:cs="Times New Roman"/>
          <w:sz w:val="24"/>
          <w:szCs w:val="24"/>
        </w:rPr>
      </w:pPr>
      <w:r w:rsidRPr="00FA4A51">
        <w:rPr>
          <w:rFonts w:ascii="Times New Roman" w:hAnsi="Times New Roman" w:cs="Times New Roman"/>
          <w:sz w:val="24"/>
          <w:szCs w:val="24"/>
        </w:rPr>
        <w:t xml:space="preserve">Portfolio: Odborný ekonomický termín, soubor cenných papírů v majetku jednoho investora (například obce). </w:t>
      </w:r>
    </w:p>
    <w:p w14:paraId="47343598" w14:textId="6993258F" w:rsidR="00FA4A51" w:rsidRPr="00FA4A51" w:rsidRDefault="00FA4A51" w:rsidP="00FA4A51">
      <w:pPr>
        <w:jc w:val="both"/>
        <w:rPr>
          <w:rFonts w:ascii="Times New Roman" w:hAnsi="Times New Roman" w:cs="Times New Roman"/>
          <w:sz w:val="24"/>
          <w:szCs w:val="24"/>
        </w:rPr>
      </w:pPr>
      <w:r w:rsidRPr="00FA4A51">
        <w:rPr>
          <w:rFonts w:ascii="Times New Roman" w:hAnsi="Times New Roman" w:cs="Times New Roman"/>
          <w:sz w:val="24"/>
          <w:szCs w:val="24"/>
        </w:rPr>
        <w:t>Majetkový</w:t>
      </w:r>
      <w:r w:rsidR="00696C7E">
        <w:rPr>
          <w:rFonts w:ascii="Times New Roman" w:hAnsi="Times New Roman" w:cs="Times New Roman"/>
          <w:sz w:val="24"/>
          <w:szCs w:val="24"/>
        </w:rPr>
        <w:t xml:space="preserve"> (investiční)</w:t>
      </w:r>
      <w:r w:rsidRPr="00FA4A51">
        <w:rPr>
          <w:rFonts w:ascii="Times New Roman" w:hAnsi="Times New Roman" w:cs="Times New Roman"/>
          <w:sz w:val="24"/>
          <w:szCs w:val="24"/>
        </w:rPr>
        <w:t xml:space="preserve"> účet klienta: Nejedná se o běžný (bankovní) účet. Na majetkovém účtu klienta jsou evidovány pořízené cenné papíry, jejich stav, pohyby a tržní hodnota</w:t>
      </w:r>
      <w:r w:rsidR="00696C7E">
        <w:rPr>
          <w:rFonts w:ascii="Times New Roman" w:hAnsi="Times New Roman" w:cs="Times New Roman"/>
          <w:sz w:val="24"/>
          <w:szCs w:val="24"/>
        </w:rPr>
        <w:t>.</w:t>
      </w:r>
      <w:r w:rsidRPr="00FA4A51">
        <w:rPr>
          <w:rFonts w:ascii="Times New Roman" w:hAnsi="Times New Roman" w:cs="Times New Roman"/>
          <w:sz w:val="24"/>
          <w:szCs w:val="24"/>
        </w:rPr>
        <w:t xml:space="preserve"> O pohybech na majetkovém účtu většinou účtujeme, až když se promítne příjem nebo výdaj z realizovaného prodeje či nákupu na běžném nebo portfoliovém účtu (během roku nemusíme řešit drobné časové rozdíly, na konci roku se řeší např. účtem 377). K 31.12. na jeho základě účtujeme o přecenění na RH k 31.12. či zachycujeme reinvestice. Někdy je poskytován jeden výpis jako celek, některé investiční společnosti vydávají tzv. stavový výpis a změnový výpis.</w:t>
      </w:r>
    </w:p>
    <w:p w14:paraId="2F86291B" w14:textId="77777777" w:rsidR="00696C7E" w:rsidRDefault="00696C7E" w:rsidP="00A302B7">
      <w:pPr>
        <w:rPr>
          <w:rFonts w:ascii="Lato" w:hAnsi="Lato"/>
          <w:color w:val="464646"/>
          <w:sz w:val="23"/>
          <w:szCs w:val="23"/>
        </w:rPr>
      </w:pPr>
    </w:p>
    <w:p w14:paraId="63F84CF3" w14:textId="42C71C93" w:rsidR="00696C7E" w:rsidRPr="00696C7E" w:rsidRDefault="00696C7E" w:rsidP="00A302B7">
      <w:pPr>
        <w:rPr>
          <w:rFonts w:ascii="Times New Roman" w:hAnsi="Times New Roman" w:cs="Times New Roman"/>
          <w:b/>
          <w:bCs/>
          <w:sz w:val="24"/>
          <w:szCs w:val="24"/>
        </w:rPr>
      </w:pPr>
      <w:r>
        <w:rPr>
          <w:rFonts w:ascii="Times New Roman" w:hAnsi="Times New Roman" w:cs="Times New Roman"/>
          <w:b/>
          <w:bCs/>
          <w:sz w:val="24"/>
          <w:szCs w:val="24"/>
        </w:rPr>
        <w:t>Obecné účetní postupy</w:t>
      </w:r>
    </w:p>
    <w:p w14:paraId="40811C1B" w14:textId="2B04B4A5" w:rsidR="00A302B7" w:rsidRPr="00696C7E" w:rsidRDefault="00A302B7" w:rsidP="00696C7E">
      <w:pPr>
        <w:rPr>
          <w:rFonts w:ascii="Times New Roman" w:hAnsi="Times New Roman" w:cs="Times New Roman"/>
          <w:sz w:val="24"/>
          <w:szCs w:val="24"/>
        </w:rPr>
      </w:pPr>
      <w:r w:rsidRPr="00696C7E">
        <w:rPr>
          <w:rFonts w:ascii="Times New Roman" w:hAnsi="Times New Roman" w:cs="Times New Roman"/>
          <w:sz w:val="24"/>
          <w:szCs w:val="24"/>
        </w:rPr>
        <w:t>Vždy k 31.12. je nutné proúčtovat přecenění na aktuální hodnotu dle výpisu, zápis 251</w:t>
      </w:r>
      <w:r w:rsidR="00696C7E">
        <w:rPr>
          <w:rFonts w:ascii="Times New Roman" w:hAnsi="Times New Roman" w:cs="Times New Roman"/>
          <w:sz w:val="24"/>
          <w:szCs w:val="24"/>
        </w:rPr>
        <w:t xml:space="preserve"> MD</w:t>
      </w:r>
      <w:r w:rsidRPr="00696C7E">
        <w:rPr>
          <w:rFonts w:ascii="Times New Roman" w:hAnsi="Times New Roman" w:cs="Times New Roman"/>
          <w:sz w:val="24"/>
          <w:szCs w:val="24"/>
        </w:rPr>
        <w:t>/</w:t>
      </w:r>
      <w:r w:rsidR="00696C7E">
        <w:rPr>
          <w:rFonts w:ascii="Times New Roman" w:hAnsi="Times New Roman" w:cs="Times New Roman"/>
          <w:sz w:val="24"/>
          <w:szCs w:val="24"/>
        </w:rPr>
        <w:t xml:space="preserve"> </w:t>
      </w:r>
      <w:r w:rsidRPr="00696C7E">
        <w:rPr>
          <w:rFonts w:ascii="Times New Roman" w:hAnsi="Times New Roman" w:cs="Times New Roman"/>
          <w:sz w:val="24"/>
          <w:szCs w:val="24"/>
        </w:rPr>
        <w:t>664</w:t>
      </w:r>
      <w:r w:rsidR="00696C7E">
        <w:rPr>
          <w:rFonts w:ascii="Times New Roman" w:hAnsi="Times New Roman" w:cs="Times New Roman"/>
          <w:sz w:val="24"/>
          <w:szCs w:val="24"/>
        </w:rPr>
        <w:t xml:space="preserve"> D</w:t>
      </w:r>
      <w:r w:rsidRPr="00696C7E">
        <w:rPr>
          <w:rFonts w:ascii="Times New Roman" w:hAnsi="Times New Roman" w:cs="Times New Roman"/>
          <w:sz w:val="24"/>
          <w:szCs w:val="24"/>
        </w:rPr>
        <w:t xml:space="preserve"> nebo 564</w:t>
      </w:r>
      <w:r w:rsidR="00696C7E">
        <w:rPr>
          <w:rFonts w:ascii="Times New Roman" w:hAnsi="Times New Roman" w:cs="Times New Roman"/>
          <w:sz w:val="24"/>
          <w:szCs w:val="24"/>
        </w:rPr>
        <w:t xml:space="preserve"> MD</w:t>
      </w:r>
      <w:r w:rsidRPr="00696C7E">
        <w:rPr>
          <w:rFonts w:ascii="Times New Roman" w:hAnsi="Times New Roman" w:cs="Times New Roman"/>
          <w:sz w:val="24"/>
          <w:szCs w:val="24"/>
        </w:rPr>
        <w:t>/</w:t>
      </w:r>
      <w:r w:rsidR="00696C7E">
        <w:rPr>
          <w:rFonts w:ascii="Times New Roman" w:hAnsi="Times New Roman" w:cs="Times New Roman"/>
          <w:sz w:val="24"/>
          <w:szCs w:val="24"/>
        </w:rPr>
        <w:t xml:space="preserve"> </w:t>
      </w:r>
      <w:r w:rsidRPr="00696C7E">
        <w:rPr>
          <w:rFonts w:ascii="Times New Roman" w:hAnsi="Times New Roman" w:cs="Times New Roman"/>
          <w:sz w:val="24"/>
          <w:szCs w:val="24"/>
        </w:rPr>
        <w:t>251</w:t>
      </w:r>
      <w:r w:rsidR="00696C7E">
        <w:rPr>
          <w:rFonts w:ascii="Times New Roman" w:hAnsi="Times New Roman" w:cs="Times New Roman"/>
          <w:sz w:val="24"/>
          <w:szCs w:val="24"/>
        </w:rPr>
        <w:t xml:space="preserve"> D</w:t>
      </w:r>
      <w:r w:rsidRPr="00696C7E">
        <w:rPr>
          <w:rFonts w:ascii="Times New Roman" w:hAnsi="Times New Roman" w:cs="Times New Roman"/>
          <w:sz w:val="24"/>
          <w:szCs w:val="24"/>
        </w:rPr>
        <w:t>.</w:t>
      </w:r>
    </w:p>
    <w:p w14:paraId="1A6A6533" w14:textId="12F9F637" w:rsidR="00ED6831" w:rsidRPr="00696C7E" w:rsidRDefault="00A302B7" w:rsidP="00696C7E">
      <w:pPr>
        <w:rPr>
          <w:rFonts w:ascii="Times New Roman" w:hAnsi="Times New Roman" w:cs="Times New Roman"/>
          <w:sz w:val="24"/>
          <w:szCs w:val="24"/>
        </w:rPr>
      </w:pPr>
      <w:r w:rsidRPr="00696C7E">
        <w:rPr>
          <w:rFonts w:ascii="Times New Roman" w:hAnsi="Times New Roman" w:cs="Times New Roman"/>
          <w:sz w:val="24"/>
          <w:szCs w:val="24"/>
        </w:rPr>
        <w:t>Podrobnější výklad včetně příkladů účtování najdete v dokumentu ze 7.7.2017 "</w:t>
      </w:r>
      <w:proofErr w:type="gramStart"/>
      <w:r w:rsidRPr="00696C7E">
        <w:rPr>
          <w:rFonts w:ascii="Times New Roman" w:hAnsi="Times New Roman" w:cs="Times New Roman"/>
          <w:sz w:val="24"/>
          <w:szCs w:val="24"/>
        </w:rPr>
        <w:t>CP - Finanční</w:t>
      </w:r>
      <w:proofErr w:type="gramEnd"/>
      <w:r w:rsidRPr="00696C7E">
        <w:rPr>
          <w:rFonts w:ascii="Times New Roman" w:hAnsi="Times New Roman" w:cs="Times New Roman"/>
          <w:sz w:val="24"/>
          <w:szCs w:val="24"/>
        </w:rPr>
        <w:t xml:space="preserve"> investice k investování".</w:t>
      </w:r>
    </w:p>
    <w:sectPr w:rsidR="00ED6831" w:rsidRPr="00696C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92FC" w14:textId="77777777" w:rsidR="003C7CAE" w:rsidRDefault="003C7CAE" w:rsidP="00046268">
      <w:pPr>
        <w:spacing w:after="0" w:line="240" w:lineRule="auto"/>
      </w:pPr>
      <w:r>
        <w:separator/>
      </w:r>
    </w:p>
  </w:endnote>
  <w:endnote w:type="continuationSeparator" w:id="0">
    <w:p w14:paraId="3574EF25" w14:textId="77777777" w:rsidR="003C7CAE" w:rsidRDefault="003C7CAE" w:rsidP="0004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E5CE" w14:textId="77777777" w:rsidR="003C7CAE" w:rsidRDefault="003C7CAE" w:rsidP="00046268">
      <w:pPr>
        <w:spacing w:after="0" w:line="240" w:lineRule="auto"/>
      </w:pPr>
      <w:r>
        <w:separator/>
      </w:r>
    </w:p>
  </w:footnote>
  <w:footnote w:type="continuationSeparator" w:id="0">
    <w:p w14:paraId="2CCD454B" w14:textId="77777777" w:rsidR="003C7CAE" w:rsidRDefault="003C7CAE" w:rsidP="0004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191"/>
      <w:docPartObj>
        <w:docPartGallery w:val="Page Numbers (Top of Page)"/>
        <w:docPartUnique/>
      </w:docPartObj>
    </w:sdtPr>
    <w:sdtContent>
      <w:p w14:paraId="6099A79C" w14:textId="3CDCC158" w:rsidR="00046268" w:rsidRDefault="00046268">
        <w:pPr>
          <w:pStyle w:val="Zhlav"/>
          <w:jc w:val="center"/>
        </w:pPr>
        <w:r>
          <w:fldChar w:fldCharType="begin"/>
        </w:r>
        <w:r>
          <w:instrText>PAGE   \* MERGEFORMAT</w:instrText>
        </w:r>
        <w:r>
          <w:fldChar w:fldCharType="separate"/>
        </w:r>
        <w:r>
          <w:t>2</w:t>
        </w:r>
        <w:r>
          <w:fldChar w:fldCharType="end"/>
        </w:r>
      </w:p>
    </w:sdtContent>
  </w:sdt>
  <w:p w14:paraId="403B1D0A" w14:textId="77777777" w:rsidR="00046268" w:rsidRDefault="00046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401AE"/>
    <w:multiLevelType w:val="hybridMultilevel"/>
    <w:tmpl w:val="8A36BA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D9096D"/>
    <w:multiLevelType w:val="hybridMultilevel"/>
    <w:tmpl w:val="CDEEC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7352067">
    <w:abstractNumId w:val="1"/>
  </w:num>
  <w:num w:numId="2" w16cid:durableId="126499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46"/>
    <w:rsid w:val="00002874"/>
    <w:rsid w:val="00020C90"/>
    <w:rsid w:val="00026CB1"/>
    <w:rsid w:val="00034862"/>
    <w:rsid w:val="00046268"/>
    <w:rsid w:val="00057E6D"/>
    <w:rsid w:val="0007015E"/>
    <w:rsid w:val="00075E76"/>
    <w:rsid w:val="00080C19"/>
    <w:rsid w:val="00081DC7"/>
    <w:rsid w:val="0008423E"/>
    <w:rsid w:val="000B250D"/>
    <w:rsid w:val="000B3BFB"/>
    <w:rsid w:val="000B4441"/>
    <w:rsid w:val="000C1A31"/>
    <w:rsid w:val="000C47A4"/>
    <w:rsid w:val="000D1E13"/>
    <w:rsid w:val="000E5F72"/>
    <w:rsid w:val="000E7EDA"/>
    <w:rsid w:val="000F65FA"/>
    <w:rsid w:val="00133DBF"/>
    <w:rsid w:val="00135142"/>
    <w:rsid w:val="00147372"/>
    <w:rsid w:val="001478A5"/>
    <w:rsid w:val="001572D2"/>
    <w:rsid w:val="001632EC"/>
    <w:rsid w:val="00172AC3"/>
    <w:rsid w:val="0017769B"/>
    <w:rsid w:val="001A108F"/>
    <w:rsid w:val="001A6052"/>
    <w:rsid w:val="001B2641"/>
    <w:rsid w:val="001B640C"/>
    <w:rsid w:val="001C08A1"/>
    <w:rsid w:val="001C2D24"/>
    <w:rsid w:val="001C57CD"/>
    <w:rsid w:val="001D4FD4"/>
    <w:rsid w:val="001E47C9"/>
    <w:rsid w:val="001F00B1"/>
    <w:rsid w:val="001F5040"/>
    <w:rsid w:val="00211619"/>
    <w:rsid w:val="00221B25"/>
    <w:rsid w:val="002406E7"/>
    <w:rsid w:val="00241928"/>
    <w:rsid w:val="00252A0C"/>
    <w:rsid w:val="00256A8C"/>
    <w:rsid w:val="002829EE"/>
    <w:rsid w:val="0028533D"/>
    <w:rsid w:val="002A2CB4"/>
    <w:rsid w:val="002D290A"/>
    <w:rsid w:val="002D3777"/>
    <w:rsid w:val="0030210D"/>
    <w:rsid w:val="00307446"/>
    <w:rsid w:val="0031246A"/>
    <w:rsid w:val="00330596"/>
    <w:rsid w:val="00343087"/>
    <w:rsid w:val="0036435B"/>
    <w:rsid w:val="003675BA"/>
    <w:rsid w:val="003835BB"/>
    <w:rsid w:val="003B0F32"/>
    <w:rsid w:val="003B5756"/>
    <w:rsid w:val="003B61BB"/>
    <w:rsid w:val="003C5B24"/>
    <w:rsid w:val="003C7CAE"/>
    <w:rsid w:val="003E02DC"/>
    <w:rsid w:val="003E1B02"/>
    <w:rsid w:val="003E37C0"/>
    <w:rsid w:val="003F06AD"/>
    <w:rsid w:val="003F4AFC"/>
    <w:rsid w:val="003F5F53"/>
    <w:rsid w:val="00403E09"/>
    <w:rsid w:val="00412E75"/>
    <w:rsid w:val="00422842"/>
    <w:rsid w:val="00432F37"/>
    <w:rsid w:val="00452976"/>
    <w:rsid w:val="00454C78"/>
    <w:rsid w:val="004717C1"/>
    <w:rsid w:val="00472D49"/>
    <w:rsid w:val="004852C5"/>
    <w:rsid w:val="00494979"/>
    <w:rsid w:val="004C5DE2"/>
    <w:rsid w:val="004C69A9"/>
    <w:rsid w:val="004D5A97"/>
    <w:rsid w:val="004E6792"/>
    <w:rsid w:val="004F14C9"/>
    <w:rsid w:val="00500E81"/>
    <w:rsid w:val="00512CB0"/>
    <w:rsid w:val="0054276F"/>
    <w:rsid w:val="00563B93"/>
    <w:rsid w:val="00565AE7"/>
    <w:rsid w:val="00573F91"/>
    <w:rsid w:val="00584B82"/>
    <w:rsid w:val="0059406C"/>
    <w:rsid w:val="005A22FB"/>
    <w:rsid w:val="005C1D9B"/>
    <w:rsid w:val="005D74AC"/>
    <w:rsid w:val="005E7C88"/>
    <w:rsid w:val="005F5FEC"/>
    <w:rsid w:val="00604B14"/>
    <w:rsid w:val="00607252"/>
    <w:rsid w:val="00614F11"/>
    <w:rsid w:val="0061538A"/>
    <w:rsid w:val="00620541"/>
    <w:rsid w:val="0062327F"/>
    <w:rsid w:val="00632C62"/>
    <w:rsid w:val="00632E5F"/>
    <w:rsid w:val="00635678"/>
    <w:rsid w:val="0064062D"/>
    <w:rsid w:val="0067032F"/>
    <w:rsid w:val="006779AF"/>
    <w:rsid w:val="006838A5"/>
    <w:rsid w:val="00693776"/>
    <w:rsid w:val="00693A49"/>
    <w:rsid w:val="00695615"/>
    <w:rsid w:val="00696C7E"/>
    <w:rsid w:val="006A730C"/>
    <w:rsid w:val="006B0FEC"/>
    <w:rsid w:val="006B7FA6"/>
    <w:rsid w:val="006C0B8A"/>
    <w:rsid w:val="006C74DF"/>
    <w:rsid w:val="007118EA"/>
    <w:rsid w:val="00714B43"/>
    <w:rsid w:val="0072522B"/>
    <w:rsid w:val="00735651"/>
    <w:rsid w:val="007443BD"/>
    <w:rsid w:val="007550F6"/>
    <w:rsid w:val="007604FA"/>
    <w:rsid w:val="007859E6"/>
    <w:rsid w:val="00792872"/>
    <w:rsid w:val="007B1E2F"/>
    <w:rsid w:val="007E1028"/>
    <w:rsid w:val="007E306A"/>
    <w:rsid w:val="007E3131"/>
    <w:rsid w:val="007E72EB"/>
    <w:rsid w:val="00810C6F"/>
    <w:rsid w:val="00813BDB"/>
    <w:rsid w:val="0081756D"/>
    <w:rsid w:val="00824AE3"/>
    <w:rsid w:val="00825A75"/>
    <w:rsid w:val="008335DB"/>
    <w:rsid w:val="008916DD"/>
    <w:rsid w:val="008945C6"/>
    <w:rsid w:val="008A3F68"/>
    <w:rsid w:val="008B4AE9"/>
    <w:rsid w:val="008B73DB"/>
    <w:rsid w:val="008E1746"/>
    <w:rsid w:val="00902FEE"/>
    <w:rsid w:val="0090302B"/>
    <w:rsid w:val="009032BF"/>
    <w:rsid w:val="0090719D"/>
    <w:rsid w:val="009177ED"/>
    <w:rsid w:val="00922749"/>
    <w:rsid w:val="00925672"/>
    <w:rsid w:val="00941401"/>
    <w:rsid w:val="00946A16"/>
    <w:rsid w:val="00954A34"/>
    <w:rsid w:val="00954E74"/>
    <w:rsid w:val="0096015E"/>
    <w:rsid w:val="00971890"/>
    <w:rsid w:val="00980934"/>
    <w:rsid w:val="00992EF9"/>
    <w:rsid w:val="009A2D42"/>
    <w:rsid w:val="009B2834"/>
    <w:rsid w:val="009E4D65"/>
    <w:rsid w:val="009F4620"/>
    <w:rsid w:val="009F5BF7"/>
    <w:rsid w:val="009F732E"/>
    <w:rsid w:val="00A059E2"/>
    <w:rsid w:val="00A24688"/>
    <w:rsid w:val="00A25594"/>
    <w:rsid w:val="00A302B7"/>
    <w:rsid w:val="00A55723"/>
    <w:rsid w:val="00A95950"/>
    <w:rsid w:val="00AA0ACE"/>
    <w:rsid w:val="00AA0B5C"/>
    <w:rsid w:val="00AA1CF6"/>
    <w:rsid w:val="00AA5411"/>
    <w:rsid w:val="00AA5C7F"/>
    <w:rsid w:val="00AA790C"/>
    <w:rsid w:val="00AC144D"/>
    <w:rsid w:val="00AC443C"/>
    <w:rsid w:val="00AD310F"/>
    <w:rsid w:val="00AF1998"/>
    <w:rsid w:val="00B0445C"/>
    <w:rsid w:val="00B1551B"/>
    <w:rsid w:val="00B3360F"/>
    <w:rsid w:val="00B66D62"/>
    <w:rsid w:val="00B70F0E"/>
    <w:rsid w:val="00B76A64"/>
    <w:rsid w:val="00B8508C"/>
    <w:rsid w:val="00B871F8"/>
    <w:rsid w:val="00B92BBC"/>
    <w:rsid w:val="00BA1B61"/>
    <w:rsid w:val="00BB092D"/>
    <w:rsid w:val="00BC267C"/>
    <w:rsid w:val="00BE6A50"/>
    <w:rsid w:val="00BF3728"/>
    <w:rsid w:val="00C413F2"/>
    <w:rsid w:val="00C53B5F"/>
    <w:rsid w:val="00C61E8E"/>
    <w:rsid w:val="00C74176"/>
    <w:rsid w:val="00C8536D"/>
    <w:rsid w:val="00C90594"/>
    <w:rsid w:val="00C94AA3"/>
    <w:rsid w:val="00CA6B30"/>
    <w:rsid w:val="00CD0A66"/>
    <w:rsid w:val="00CE0AC1"/>
    <w:rsid w:val="00CE1C78"/>
    <w:rsid w:val="00D11501"/>
    <w:rsid w:val="00D26AEA"/>
    <w:rsid w:val="00D32F83"/>
    <w:rsid w:val="00D356CE"/>
    <w:rsid w:val="00D369AA"/>
    <w:rsid w:val="00D413FE"/>
    <w:rsid w:val="00D45F47"/>
    <w:rsid w:val="00D52097"/>
    <w:rsid w:val="00D562F4"/>
    <w:rsid w:val="00D630F5"/>
    <w:rsid w:val="00D702B3"/>
    <w:rsid w:val="00D80529"/>
    <w:rsid w:val="00D80801"/>
    <w:rsid w:val="00D8171A"/>
    <w:rsid w:val="00D94FC6"/>
    <w:rsid w:val="00DD113A"/>
    <w:rsid w:val="00DD1495"/>
    <w:rsid w:val="00DE7458"/>
    <w:rsid w:val="00DF1148"/>
    <w:rsid w:val="00DF3178"/>
    <w:rsid w:val="00DF3394"/>
    <w:rsid w:val="00E01B3B"/>
    <w:rsid w:val="00E03FCB"/>
    <w:rsid w:val="00E05AB8"/>
    <w:rsid w:val="00E21E1E"/>
    <w:rsid w:val="00E516A8"/>
    <w:rsid w:val="00E55B1D"/>
    <w:rsid w:val="00E83F4E"/>
    <w:rsid w:val="00E85BAC"/>
    <w:rsid w:val="00E87714"/>
    <w:rsid w:val="00E904D0"/>
    <w:rsid w:val="00EB3340"/>
    <w:rsid w:val="00EC1E4A"/>
    <w:rsid w:val="00EC3A83"/>
    <w:rsid w:val="00EC5EB6"/>
    <w:rsid w:val="00ED6831"/>
    <w:rsid w:val="00EF01CA"/>
    <w:rsid w:val="00F05621"/>
    <w:rsid w:val="00F06923"/>
    <w:rsid w:val="00F24C3C"/>
    <w:rsid w:val="00F32EB7"/>
    <w:rsid w:val="00F34C88"/>
    <w:rsid w:val="00F35D10"/>
    <w:rsid w:val="00F4583A"/>
    <w:rsid w:val="00F508E3"/>
    <w:rsid w:val="00F82C40"/>
    <w:rsid w:val="00F85713"/>
    <w:rsid w:val="00F969B4"/>
    <w:rsid w:val="00FA4A51"/>
    <w:rsid w:val="00FB166D"/>
    <w:rsid w:val="00FD6B9E"/>
    <w:rsid w:val="00FF7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2107"/>
  <w15:chartTrackingRefBased/>
  <w15:docId w15:val="{D2DF0057-62AD-49B9-B388-7177A6F6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E09"/>
  </w:style>
  <w:style w:type="paragraph" w:styleId="Nadpis1">
    <w:name w:val="heading 1"/>
    <w:basedOn w:val="Normln"/>
    <w:next w:val="Normln"/>
    <w:link w:val="Nadpis1Char"/>
    <w:uiPriority w:val="9"/>
    <w:qFormat/>
    <w:rsid w:val="008E17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8E17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8E174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174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174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174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174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174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174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174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8E174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8E174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174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174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174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174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174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1746"/>
    <w:rPr>
      <w:rFonts w:eastAsiaTheme="majorEastAsia" w:cstheme="majorBidi"/>
      <w:color w:val="272727" w:themeColor="text1" w:themeTint="D8"/>
    </w:rPr>
  </w:style>
  <w:style w:type="paragraph" w:styleId="Nzev">
    <w:name w:val="Title"/>
    <w:basedOn w:val="Normln"/>
    <w:next w:val="Normln"/>
    <w:link w:val="NzevChar"/>
    <w:uiPriority w:val="10"/>
    <w:qFormat/>
    <w:rsid w:val="008E1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174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174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174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1746"/>
    <w:pPr>
      <w:spacing w:before="160"/>
      <w:jc w:val="center"/>
    </w:pPr>
    <w:rPr>
      <w:i/>
      <w:iCs/>
      <w:color w:val="404040" w:themeColor="text1" w:themeTint="BF"/>
    </w:rPr>
  </w:style>
  <w:style w:type="character" w:customStyle="1" w:styleId="CittChar">
    <w:name w:val="Citát Char"/>
    <w:basedOn w:val="Standardnpsmoodstavce"/>
    <w:link w:val="Citt"/>
    <w:uiPriority w:val="29"/>
    <w:rsid w:val="008E1746"/>
    <w:rPr>
      <w:i/>
      <w:iCs/>
      <w:color w:val="404040" w:themeColor="text1" w:themeTint="BF"/>
    </w:rPr>
  </w:style>
  <w:style w:type="paragraph" w:styleId="Odstavecseseznamem">
    <w:name w:val="List Paragraph"/>
    <w:basedOn w:val="Normln"/>
    <w:uiPriority w:val="34"/>
    <w:qFormat/>
    <w:rsid w:val="008E1746"/>
    <w:pPr>
      <w:ind w:left="720"/>
      <w:contextualSpacing/>
    </w:pPr>
  </w:style>
  <w:style w:type="character" w:styleId="Zdraznnintenzivn">
    <w:name w:val="Intense Emphasis"/>
    <w:basedOn w:val="Standardnpsmoodstavce"/>
    <w:uiPriority w:val="21"/>
    <w:qFormat/>
    <w:rsid w:val="008E1746"/>
    <w:rPr>
      <w:i/>
      <w:iCs/>
      <w:color w:val="2E74B5" w:themeColor="accent1" w:themeShade="BF"/>
    </w:rPr>
  </w:style>
  <w:style w:type="paragraph" w:styleId="Vrazncitt">
    <w:name w:val="Intense Quote"/>
    <w:basedOn w:val="Normln"/>
    <w:next w:val="Normln"/>
    <w:link w:val="VrazncittChar"/>
    <w:uiPriority w:val="30"/>
    <w:qFormat/>
    <w:rsid w:val="008E17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1746"/>
    <w:rPr>
      <w:i/>
      <w:iCs/>
      <w:color w:val="2E74B5" w:themeColor="accent1" w:themeShade="BF"/>
    </w:rPr>
  </w:style>
  <w:style w:type="character" w:styleId="Odkazintenzivn">
    <w:name w:val="Intense Reference"/>
    <w:basedOn w:val="Standardnpsmoodstavce"/>
    <w:uiPriority w:val="32"/>
    <w:qFormat/>
    <w:rsid w:val="008E1746"/>
    <w:rPr>
      <w:b/>
      <w:bCs/>
      <w:smallCaps/>
      <w:color w:val="2E74B5" w:themeColor="accent1" w:themeShade="BF"/>
      <w:spacing w:val="5"/>
    </w:rPr>
  </w:style>
  <w:style w:type="paragraph" w:styleId="Zhlav">
    <w:name w:val="header"/>
    <w:basedOn w:val="Normln"/>
    <w:link w:val="ZhlavChar"/>
    <w:uiPriority w:val="99"/>
    <w:unhideWhenUsed/>
    <w:rsid w:val="000462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6268"/>
  </w:style>
  <w:style w:type="paragraph" w:styleId="Zpat">
    <w:name w:val="footer"/>
    <w:basedOn w:val="Normln"/>
    <w:link w:val="ZpatChar"/>
    <w:uiPriority w:val="99"/>
    <w:unhideWhenUsed/>
    <w:rsid w:val="00046268"/>
    <w:pPr>
      <w:tabs>
        <w:tab w:val="center" w:pos="4536"/>
        <w:tab w:val="right" w:pos="9072"/>
      </w:tabs>
      <w:spacing w:after="0" w:line="240" w:lineRule="auto"/>
    </w:pPr>
  </w:style>
  <w:style w:type="character" w:customStyle="1" w:styleId="ZpatChar">
    <w:name w:val="Zápatí Char"/>
    <w:basedOn w:val="Standardnpsmoodstavce"/>
    <w:link w:val="Zpat"/>
    <w:uiPriority w:val="99"/>
    <w:rsid w:val="00046268"/>
  </w:style>
  <w:style w:type="character" w:styleId="Hypertextovodkaz">
    <w:name w:val="Hyperlink"/>
    <w:basedOn w:val="Standardnpsmoodstavce"/>
    <w:uiPriority w:val="99"/>
    <w:unhideWhenUsed/>
    <w:rsid w:val="00403E09"/>
    <w:rPr>
      <w:color w:val="0563C1" w:themeColor="hyperlink"/>
      <w:u w:val="single"/>
    </w:rPr>
  </w:style>
  <w:style w:type="character" w:styleId="Nevyeenzmnka">
    <w:name w:val="Unresolved Mention"/>
    <w:basedOn w:val="Standardnpsmoodstavce"/>
    <w:uiPriority w:val="99"/>
    <w:semiHidden/>
    <w:unhideWhenUsed/>
    <w:rsid w:val="00403E09"/>
    <w:rPr>
      <w:color w:val="605E5C"/>
      <w:shd w:val="clear" w:color="auto" w:fill="E1DFDD"/>
    </w:rPr>
  </w:style>
  <w:style w:type="character" w:styleId="Odkaznakoment">
    <w:name w:val="annotation reference"/>
    <w:basedOn w:val="Standardnpsmoodstavce"/>
    <w:uiPriority w:val="99"/>
    <w:semiHidden/>
    <w:unhideWhenUsed/>
    <w:rsid w:val="001632EC"/>
    <w:rPr>
      <w:sz w:val="16"/>
      <w:szCs w:val="16"/>
    </w:rPr>
  </w:style>
  <w:style w:type="paragraph" w:styleId="Textkomente">
    <w:name w:val="annotation text"/>
    <w:basedOn w:val="Normln"/>
    <w:link w:val="TextkomenteChar"/>
    <w:uiPriority w:val="99"/>
    <w:semiHidden/>
    <w:unhideWhenUsed/>
    <w:rsid w:val="001632EC"/>
    <w:pPr>
      <w:spacing w:line="240" w:lineRule="auto"/>
    </w:pPr>
    <w:rPr>
      <w:sz w:val="20"/>
      <w:szCs w:val="20"/>
    </w:rPr>
  </w:style>
  <w:style w:type="character" w:customStyle="1" w:styleId="TextkomenteChar">
    <w:name w:val="Text komentáře Char"/>
    <w:basedOn w:val="Standardnpsmoodstavce"/>
    <w:link w:val="Textkomente"/>
    <w:uiPriority w:val="99"/>
    <w:semiHidden/>
    <w:rsid w:val="001632EC"/>
    <w:rPr>
      <w:sz w:val="20"/>
      <w:szCs w:val="20"/>
    </w:rPr>
  </w:style>
  <w:style w:type="paragraph" w:styleId="Pedmtkomente">
    <w:name w:val="annotation subject"/>
    <w:basedOn w:val="Textkomente"/>
    <w:next w:val="Textkomente"/>
    <w:link w:val="PedmtkomenteChar"/>
    <w:uiPriority w:val="99"/>
    <w:semiHidden/>
    <w:unhideWhenUsed/>
    <w:rsid w:val="001632EC"/>
    <w:rPr>
      <w:b/>
      <w:bCs/>
    </w:rPr>
  </w:style>
  <w:style w:type="character" w:customStyle="1" w:styleId="PedmtkomenteChar">
    <w:name w:val="Předmět komentáře Char"/>
    <w:basedOn w:val="TextkomenteChar"/>
    <w:link w:val="Pedmtkomente"/>
    <w:uiPriority w:val="99"/>
    <w:semiHidden/>
    <w:rsid w:val="001632EC"/>
    <w:rPr>
      <w:b/>
      <w:bCs/>
      <w:sz w:val="20"/>
      <w:szCs w:val="20"/>
    </w:rPr>
  </w:style>
  <w:style w:type="paragraph" w:styleId="Revize">
    <w:name w:val="Revision"/>
    <w:hidden/>
    <w:uiPriority w:val="99"/>
    <w:semiHidden/>
    <w:rsid w:val="00D702B3"/>
    <w:pPr>
      <w:spacing w:after="0" w:line="240" w:lineRule="auto"/>
    </w:pPr>
  </w:style>
  <w:style w:type="paragraph" w:styleId="Normlnweb">
    <w:name w:val="Normal (Web)"/>
    <w:basedOn w:val="Normln"/>
    <w:uiPriority w:val="99"/>
    <w:semiHidden/>
    <w:unhideWhenUsed/>
    <w:rsid w:val="00ED683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5877">
      <w:bodyDiv w:val="1"/>
      <w:marLeft w:val="0"/>
      <w:marRight w:val="0"/>
      <w:marTop w:val="0"/>
      <w:marBottom w:val="0"/>
      <w:divBdr>
        <w:top w:val="none" w:sz="0" w:space="0" w:color="auto"/>
        <w:left w:val="none" w:sz="0" w:space="0" w:color="auto"/>
        <w:bottom w:val="none" w:sz="0" w:space="0" w:color="auto"/>
        <w:right w:val="none" w:sz="0" w:space="0" w:color="auto"/>
      </w:divBdr>
    </w:div>
    <w:div w:id="455023829">
      <w:bodyDiv w:val="1"/>
      <w:marLeft w:val="0"/>
      <w:marRight w:val="0"/>
      <w:marTop w:val="0"/>
      <w:marBottom w:val="0"/>
      <w:divBdr>
        <w:top w:val="none" w:sz="0" w:space="0" w:color="auto"/>
        <w:left w:val="none" w:sz="0" w:space="0" w:color="auto"/>
        <w:bottom w:val="none" w:sz="0" w:space="0" w:color="auto"/>
        <w:right w:val="none" w:sz="0" w:space="0" w:color="auto"/>
      </w:divBdr>
    </w:div>
    <w:div w:id="618880201">
      <w:bodyDiv w:val="1"/>
      <w:marLeft w:val="0"/>
      <w:marRight w:val="0"/>
      <w:marTop w:val="0"/>
      <w:marBottom w:val="0"/>
      <w:divBdr>
        <w:top w:val="none" w:sz="0" w:space="0" w:color="auto"/>
        <w:left w:val="none" w:sz="0" w:space="0" w:color="auto"/>
        <w:bottom w:val="none" w:sz="0" w:space="0" w:color="auto"/>
        <w:right w:val="none" w:sz="0" w:space="0" w:color="auto"/>
      </w:divBdr>
    </w:div>
    <w:div w:id="1658847737">
      <w:bodyDiv w:val="1"/>
      <w:marLeft w:val="0"/>
      <w:marRight w:val="0"/>
      <w:marTop w:val="0"/>
      <w:marBottom w:val="0"/>
      <w:divBdr>
        <w:top w:val="none" w:sz="0" w:space="0" w:color="auto"/>
        <w:left w:val="none" w:sz="0" w:space="0" w:color="auto"/>
        <w:bottom w:val="none" w:sz="0" w:space="0" w:color="auto"/>
        <w:right w:val="none" w:sz="0" w:space="0" w:color="auto"/>
      </w:divBdr>
    </w:div>
    <w:div w:id="17023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A450A-D2D1-42C4-AC3F-E2C92CD8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3661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Schneiderová</dc:creator>
  <cp:keywords/>
  <dc:description/>
  <cp:lastModifiedBy>Ivana Schneiderová</cp:lastModifiedBy>
  <cp:revision>2</cp:revision>
  <cp:lastPrinted>2025-02-02T12:50:00Z</cp:lastPrinted>
  <dcterms:created xsi:type="dcterms:W3CDTF">2025-07-05T16:41:00Z</dcterms:created>
  <dcterms:modified xsi:type="dcterms:W3CDTF">2025-07-05T16:41:00Z</dcterms:modified>
</cp:coreProperties>
</file>