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32F60" w14:textId="781DAB46" w:rsidR="006838A5" w:rsidRPr="0059406C" w:rsidRDefault="000E71EB" w:rsidP="005940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Nepřímé výdaje</w:t>
      </w:r>
      <w:r w:rsidR="001D3D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 programovacím období 2021-2027</w:t>
      </w:r>
    </w:p>
    <w:p w14:paraId="5E099007" w14:textId="4E103F38" w:rsidR="007550F6" w:rsidRDefault="003C3980" w:rsidP="007550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E0000"/>
          <w:sz w:val="24"/>
          <w:szCs w:val="24"/>
        </w:rPr>
        <w:t>2</w:t>
      </w:r>
      <w:r w:rsidR="007E5011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</w:t>
      </w:r>
      <w:r w:rsidR="00FD7644">
        <w:rPr>
          <w:rFonts w:ascii="Times New Roman" w:hAnsi="Times New Roman" w:cs="Times New Roman"/>
          <w:b/>
          <w:bCs/>
          <w:color w:val="EE0000"/>
          <w:sz w:val="24"/>
          <w:szCs w:val="24"/>
        </w:rPr>
        <w:t>hodin</w:t>
      </w:r>
      <w:r w:rsidR="007933AE">
        <w:rPr>
          <w:rFonts w:ascii="Times New Roman" w:hAnsi="Times New Roman" w:cs="Times New Roman"/>
          <w:b/>
          <w:bCs/>
          <w:color w:val="EE0000"/>
          <w:sz w:val="24"/>
          <w:szCs w:val="24"/>
        </w:rPr>
        <w:t>y</w:t>
      </w:r>
    </w:p>
    <w:p w14:paraId="3FCFF855" w14:textId="01BEBE10" w:rsidR="007A05C8" w:rsidRDefault="007A05C8" w:rsidP="009177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7F6440" w14:textId="0237857E" w:rsidR="00543F06" w:rsidRPr="00F256E1" w:rsidRDefault="00543F06" w:rsidP="00256929">
      <w:pPr>
        <w:jc w:val="both"/>
        <w:rPr>
          <w:rFonts w:ascii="Times New Roman" w:hAnsi="Times New Roman" w:cs="Times New Roman"/>
          <w:sz w:val="24"/>
          <w:szCs w:val="24"/>
        </w:rPr>
      </w:pPr>
      <w:r w:rsidRPr="00F256E1">
        <w:rPr>
          <w:rFonts w:ascii="Times New Roman" w:hAnsi="Times New Roman" w:cs="Times New Roman"/>
          <w:sz w:val="24"/>
          <w:szCs w:val="24"/>
        </w:rPr>
        <w:t>V </w:t>
      </w:r>
      <w:r w:rsidR="004D6D72">
        <w:rPr>
          <w:rFonts w:ascii="Times New Roman" w:hAnsi="Times New Roman" w:cs="Times New Roman"/>
          <w:sz w:val="24"/>
          <w:szCs w:val="24"/>
        </w:rPr>
        <w:t>aktuálním</w:t>
      </w:r>
      <w:r w:rsidRPr="00F256E1">
        <w:rPr>
          <w:rFonts w:ascii="Times New Roman" w:hAnsi="Times New Roman" w:cs="Times New Roman"/>
          <w:sz w:val="24"/>
          <w:szCs w:val="24"/>
        </w:rPr>
        <w:t xml:space="preserve"> programovacím období 2021-2027 se rozšířily případy paušálních dotací, kdy poskytovateli neprokazujete skutečnou výši výdajů, ale výše dotace je určována s ohledem na předem stanovené parametry dotace. Příkladem jsou dotace na FVE, dotace od AOPK apod.</w:t>
      </w:r>
      <w:r w:rsidR="00EC33DC" w:rsidRPr="00F25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BB150" w14:textId="595204F7" w:rsidR="00543F06" w:rsidRPr="00F256E1" w:rsidRDefault="00543F06" w:rsidP="00256929">
      <w:pPr>
        <w:jc w:val="both"/>
        <w:rPr>
          <w:rFonts w:ascii="Times New Roman" w:hAnsi="Times New Roman" w:cs="Times New Roman"/>
          <w:sz w:val="24"/>
          <w:szCs w:val="24"/>
        </w:rPr>
      </w:pPr>
      <w:r w:rsidRPr="00F256E1">
        <w:rPr>
          <w:rFonts w:ascii="Times New Roman" w:hAnsi="Times New Roman" w:cs="Times New Roman"/>
          <w:sz w:val="24"/>
          <w:szCs w:val="24"/>
        </w:rPr>
        <w:t xml:space="preserve">U dotací z IROP a OPŽP se začala aplikovat zjednodušená metoda vykazování (ZMV) ve vztahu k nepřímým výdajům. </w:t>
      </w:r>
      <w:r w:rsidRPr="00272337">
        <w:rPr>
          <w:rFonts w:ascii="Times New Roman" w:hAnsi="Times New Roman" w:cs="Times New Roman"/>
          <w:sz w:val="24"/>
          <w:szCs w:val="24"/>
        </w:rPr>
        <w:t xml:space="preserve">U dotací IROP bývají </w:t>
      </w:r>
      <w:r w:rsidRPr="004D6D72">
        <w:rPr>
          <w:rFonts w:ascii="Times New Roman" w:hAnsi="Times New Roman" w:cs="Times New Roman"/>
          <w:b/>
          <w:bCs/>
          <w:sz w:val="24"/>
          <w:szCs w:val="24"/>
        </w:rPr>
        <w:t xml:space="preserve">nepřímé výdaje jasně vyčísleny v rozhodnutí, </w:t>
      </w:r>
      <w:r w:rsidR="004D6D72" w:rsidRPr="004D6D72">
        <w:rPr>
          <w:rFonts w:ascii="Times New Roman" w:hAnsi="Times New Roman" w:cs="Times New Roman"/>
          <w:b/>
          <w:bCs/>
          <w:sz w:val="24"/>
          <w:szCs w:val="24"/>
        </w:rPr>
        <w:t>jen je potřeba vědět, jak s</w:t>
      </w:r>
      <w:r w:rsidR="0015304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D6D72" w:rsidRPr="004D6D7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5304A">
        <w:rPr>
          <w:rFonts w:ascii="Times New Roman" w:hAnsi="Times New Roman" w:cs="Times New Roman"/>
          <w:b/>
          <w:bCs/>
          <w:sz w:val="24"/>
          <w:szCs w:val="24"/>
        </w:rPr>
        <w:t xml:space="preserve">outo informací </w:t>
      </w:r>
      <w:r w:rsidR="004D6D72" w:rsidRPr="004D6D72">
        <w:rPr>
          <w:rFonts w:ascii="Times New Roman" w:hAnsi="Times New Roman" w:cs="Times New Roman"/>
          <w:b/>
          <w:bCs/>
          <w:sz w:val="24"/>
          <w:szCs w:val="24"/>
        </w:rPr>
        <w:t>naložit</w:t>
      </w:r>
      <w:r w:rsidR="0015304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D6D72" w:rsidRPr="004D6D72">
        <w:rPr>
          <w:rFonts w:ascii="Times New Roman" w:hAnsi="Times New Roman" w:cs="Times New Roman"/>
          <w:b/>
          <w:bCs/>
          <w:sz w:val="24"/>
          <w:szCs w:val="24"/>
        </w:rPr>
        <w:t xml:space="preserve"> a to je účelem tohoto dokumentu.</w:t>
      </w:r>
      <w:r w:rsidRPr="00F256E1">
        <w:rPr>
          <w:rFonts w:ascii="Times New Roman" w:hAnsi="Times New Roman" w:cs="Times New Roman"/>
          <w:sz w:val="24"/>
          <w:szCs w:val="24"/>
        </w:rPr>
        <w:t xml:space="preserve"> U dotací OPŽP je potřeba si dávat větší pozor, protože ve smlouvě nejsou jasně vyčísleny přímé a nepřímé výdaje, částka nákladů a dotace je uvedena souhrnně a je tak potřeba výši přímých a nepřímých výdajů zjišťovat v rozpočtu k dotaci. </w:t>
      </w:r>
    </w:p>
    <w:p w14:paraId="543D1902" w14:textId="23FA5CE0" w:rsidR="00EC33DC" w:rsidRPr="00F256E1" w:rsidRDefault="003C0280" w:rsidP="00256929">
      <w:pPr>
        <w:jc w:val="both"/>
        <w:rPr>
          <w:rFonts w:ascii="Times New Roman" w:hAnsi="Times New Roman" w:cs="Times New Roman"/>
          <w:sz w:val="24"/>
          <w:szCs w:val="24"/>
        </w:rPr>
      </w:pPr>
      <w:r w:rsidRPr="00F256E1">
        <w:rPr>
          <w:rFonts w:ascii="Times New Roman" w:hAnsi="Times New Roman" w:cs="Times New Roman"/>
          <w:sz w:val="24"/>
          <w:szCs w:val="24"/>
        </w:rPr>
        <w:t>Nepřímá dotace je jedním z typů paušální dotace, kdy výše nepřímých výdajů je vyčíslena stanoveným procentem z přímých výdajů</w:t>
      </w:r>
      <w:r w:rsidR="00256929">
        <w:rPr>
          <w:rFonts w:ascii="Times New Roman" w:hAnsi="Times New Roman" w:cs="Times New Roman"/>
          <w:sz w:val="24"/>
          <w:szCs w:val="24"/>
        </w:rPr>
        <w:t xml:space="preserve"> a následně je na ně aplikováno schválené procento dotace</w:t>
      </w:r>
      <w:r w:rsidRPr="00F256E1">
        <w:rPr>
          <w:rFonts w:ascii="Times New Roman" w:hAnsi="Times New Roman" w:cs="Times New Roman"/>
          <w:sz w:val="24"/>
          <w:szCs w:val="24"/>
        </w:rPr>
        <w:t>.</w:t>
      </w:r>
    </w:p>
    <w:p w14:paraId="2BD994FE" w14:textId="6462EC85" w:rsidR="00113078" w:rsidRPr="00F256E1" w:rsidRDefault="00113078" w:rsidP="00256929">
      <w:pPr>
        <w:jc w:val="both"/>
        <w:rPr>
          <w:rFonts w:ascii="Times New Roman" w:hAnsi="Times New Roman" w:cs="Times New Roman"/>
          <w:sz w:val="24"/>
          <w:szCs w:val="24"/>
        </w:rPr>
      </w:pPr>
      <w:r w:rsidRPr="00F256E1">
        <w:rPr>
          <w:rFonts w:ascii="Times New Roman" w:hAnsi="Times New Roman" w:cs="Times New Roman"/>
          <w:sz w:val="24"/>
          <w:szCs w:val="24"/>
        </w:rPr>
        <w:t>Nejprve si vymezme, o jaké výdaje se věcně jedná. Nepřímé výdaje najdete kategorizovány v podmínkách konkrétní dotace. Typově se nejčastěji jedná o výdaje na stavebně-technickou přípravu projektu (projektová dokumentace, správní poplatky, technický dozor, výběrové řízení) a na zajištění financování (administrace dotace).</w:t>
      </w:r>
    </w:p>
    <w:p w14:paraId="55359A8E" w14:textId="0BB40A8D" w:rsidR="00113078" w:rsidRDefault="00113078" w:rsidP="002569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Vymezení nepřímých výdajů v programu IROP:</w:t>
      </w:r>
    </w:p>
    <w:p w14:paraId="047721F7" w14:textId="77777777" w:rsidR="00113078" w:rsidRDefault="00113078" w:rsidP="002569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Pr="00CF7524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https://irop.gov.cz/getmedia/f27e03b7-f6d2-4f24-96af-4ab04dd0b002/IROP_Aplikace-pausalni-sazby-na-neprime-naklady_Kategorie-neprimych-nakladu.pdf.aspx?ext=.pdf</w:t>
        </w:r>
      </w:hyperlink>
    </w:p>
    <w:p w14:paraId="695EB52E" w14:textId="5360E930" w:rsidR="00113078" w:rsidRDefault="00113078" w:rsidP="002569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Metodika OPŽP:</w:t>
      </w:r>
    </w:p>
    <w:p w14:paraId="426C3E1A" w14:textId="504EAAEE" w:rsidR="00F256E1" w:rsidRDefault="00F256E1" w:rsidP="00256929">
      <w:pPr>
        <w:jc w:val="both"/>
        <w:rPr>
          <w:rStyle w:val="Hypertextovodkaz"/>
        </w:rPr>
      </w:pPr>
      <w:r w:rsidRPr="00F256E1">
        <w:rPr>
          <w:rStyle w:val="Hypertextovodkaz"/>
        </w:rPr>
        <w:t>https://opzp.cz/files/documents/storage/2023/12/13/1702452787_P%C5%99%C3%ADloha%2003%20-%20Metodika%20ZMV%20s%20kategorizac%C3%AD%20polo%C5%BEek%20rozpo%C4%8Dtu%20OP%C5%BDP21+_%C4%8Distopis.pdf</w:t>
      </w:r>
    </w:p>
    <w:p w14:paraId="3C7573C8" w14:textId="77777777" w:rsidR="00F256E1" w:rsidRDefault="00F256E1" w:rsidP="00256929">
      <w:pPr>
        <w:jc w:val="both"/>
        <w:rPr>
          <w:rStyle w:val="Hypertextovodkaz"/>
        </w:rPr>
      </w:pPr>
    </w:p>
    <w:p w14:paraId="12DFB96F" w14:textId="4D973267" w:rsidR="00113078" w:rsidRPr="00A82FBF" w:rsidRDefault="00A82FBF" w:rsidP="0025692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2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Pozn.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82FBF">
        <w:rPr>
          <w:rFonts w:ascii="Times New Roman" w:hAnsi="Times New Roman" w:cs="Times New Roman"/>
          <w:i/>
          <w:iCs/>
          <w:sz w:val="24"/>
          <w:szCs w:val="24"/>
        </w:rPr>
        <w:t>Objevují se i specifické kombinace, např. u dotace z AOPK se v některých dotačních titulech objevuje kombinace klasické paušální dotace na přímé výdaje a zároveň paušální dotace na nepřímé výdaje.</w:t>
      </w:r>
      <w:r w:rsidRPr="00A82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0B198FE" w14:textId="79CC5C52" w:rsidR="00543F06" w:rsidRPr="00A82FBF" w:rsidRDefault="00EC33DC" w:rsidP="0025692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33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Hlavním problémem, se kterým </w:t>
      </w:r>
      <w:r w:rsidR="00B671C8">
        <w:rPr>
          <w:rFonts w:ascii="Times New Roman" w:hAnsi="Times New Roman" w:cs="Times New Roman"/>
          <w:b/>
          <w:bCs/>
          <w:sz w:val="24"/>
          <w:szCs w:val="24"/>
          <w:u w:val="single"/>
        </w:rPr>
        <w:t>se u nepřímých výdajů</w:t>
      </w:r>
      <w:r w:rsidRPr="00EC33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musíme vypořádat je fakt, že paušální nepřímá dotace je vždy neinvestiční, skutečné nepřímé výdaje patří svým charakterem ale často do ceny investice. </w:t>
      </w:r>
      <w:r w:rsidR="00113078">
        <w:rPr>
          <w:rFonts w:ascii="Times New Roman" w:hAnsi="Times New Roman" w:cs="Times New Roman"/>
          <w:b/>
          <w:bCs/>
          <w:sz w:val="24"/>
          <w:szCs w:val="24"/>
          <w:u w:val="single"/>
        </w:rPr>
        <w:t>Proto nastala potřeba ujasnit ze strany MF postup, jak toto řešit.</w:t>
      </w:r>
    </w:p>
    <w:p w14:paraId="463C8085" w14:textId="77777777" w:rsidR="00113078" w:rsidRDefault="00113078" w:rsidP="009177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359775" w14:textId="77777777" w:rsidR="00256929" w:rsidRDefault="00256929" w:rsidP="009177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136399" w14:textId="77777777" w:rsidR="00256929" w:rsidRDefault="00256929" w:rsidP="009177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2423D5" w14:textId="2F1D970F" w:rsidR="00543F06" w:rsidRDefault="00543F06" w:rsidP="002569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Metodiky MF k nepřímým výdajům</w:t>
      </w:r>
      <w:r w:rsidR="002569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97D647" w14:textId="77777777" w:rsidR="004156FB" w:rsidRDefault="004156FB" w:rsidP="002569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A40C3" w14:textId="05AA46F8" w:rsidR="00543F06" w:rsidRDefault="00543F06" w:rsidP="0025692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078">
        <w:rPr>
          <w:rFonts w:ascii="Times New Roman" w:hAnsi="Times New Roman" w:cs="Times New Roman"/>
          <w:b/>
          <w:bCs/>
          <w:sz w:val="24"/>
          <w:szCs w:val="24"/>
        </w:rPr>
        <w:t>Metodika k</w:t>
      </w:r>
      <w:r w:rsidR="00F456D5">
        <w:rPr>
          <w:rFonts w:ascii="Times New Roman" w:hAnsi="Times New Roman" w:cs="Times New Roman"/>
          <w:b/>
          <w:bCs/>
          <w:sz w:val="24"/>
          <w:szCs w:val="24"/>
        </w:rPr>
        <w:t> účetnímu a rozpočtovému</w:t>
      </w:r>
      <w:r w:rsidRPr="00113078">
        <w:rPr>
          <w:rFonts w:ascii="Times New Roman" w:hAnsi="Times New Roman" w:cs="Times New Roman"/>
          <w:b/>
          <w:bCs/>
          <w:sz w:val="24"/>
          <w:szCs w:val="24"/>
        </w:rPr>
        <w:t> zachycení nepřímých výdajů a nepřímé dotace</w:t>
      </w:r>
    </w:p>
    <w:p w14:paraId="2B13DD2A" w14:textId="77777777" w:rsidR="00D30667" w:rsidRPr="00113078" w:rsidRDefault="00D30667" w:rsidP="00D30667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8AEBE" w14:textId="77777777" w:rsidR="00EC33DC" w:rsidRDefault="008C6D46" w:rsidP="00256929">
      <w:pPr>
        <w:jc w:val="both"/>
      </w:pPr>
      <w:hyperlink r:id="rId9" w:history="1">
        <w:r w:rsidRPr="00CF7524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https://www.mfcr.cz/cs/rozpoctova-politika/uzemni-rozpocty/legislativa-a-metodicka-podpora-uzemnich-rozpoctu/2023/prezentace-z-pracovniho-setkani-se-zastupci-kraju-52141</w:t>
        </w:r>
      </w:hyperlink>
    </w:p>
    <w:p w14:paraId="255EE81F" w14:textId="77777777" w:rsidR="00D30667" w:rsidRDefault="00D30667" w:rsidP="002569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878CD" w14:textId="7B65B8B9" w:rsidR="008C6D46" w:rsidRPr="004E3A62" w:rsidRDefault="00F456D5" w:rsidP="0025692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Účetní zachycení: </w:t>
      </w:r>
      <w:r w:rsidR="008C6D46" w:rsidRPr="004E3A62">
        <w:rPr>
          <w:rFonts w:ascii="Times New Roman" w:hAnsi="Times New Roman" w:cs="Times New Roman"/>
          <w:sz w:val="24"/>
          <w:szCs w:val="24"/>
        </w:rPr>
        <w:t>MF</w:t>
      </w:r>
      <w:r w:rsidR="00EC33DC" w:rsidRPr="004E3A62">
        <w:rPr>
          <w:rFonts w:ascii="Times New Roman" w:hAnsi="Times New Roman" w:cs="Times New Roman"/>
          <w:sz w:val="24"/>
          <w:szCs w:val="24"/>
        </w:rPr>
        <w:t xml:space="preserve"> zde</w:t>
      </w:r>
      <w:r w:rsidR="008C6D46" w:rsidRPr="004E3A62">
        <w:rPr>
          <w:rFonts w:ascii="Times New Roman" w:hAnsi="Times New Roman" w:cs="Times New Roman"/>
          <w:sz w:val="24"/>
          <w:szCs w:val="24"/>
        </w:rPr>
        <w:t xml:space="preserve"> prezentuje</w:t>
      </w:r>
      <w:r w:rsidR="00A82FBF" w:rsidRPr="004E3A62">
        <w:rPr>
          <w:rFonts w:ascii="Times New Roman" w:hAnsi="Times New Roman" w:cs="Times New Roman"/>
          <w:sz w:val="24"/>
          <w:szCs w:val="24"/>
        </w:rPr>
        <w:t xml:space="preserve"> postup</w:t>
      </w:r>
      <w:r w:rsidR="008C6D46" w:rsidRPr="004E3A62">
        <w:rPr>
          <w:rFonts w:ascii="Times New Roman" w:hAnsi="Times New Roman" w:cs="Times New Roman"/>
          <w:sz w:val="24"/>
          <w:szCs w:val="24"/>
        </w:rPr>
        <w:t xml:space="preserve">, </w:t>
      </w:r>
      <w:r w:rsidR="00A82FBF" w:rsidRPr="004E3A62">
        <w:rPr>
          <w:rFonts w:ascii="Times New Roman" w:hAnsi="Times New Roman" w:cs="Times New Roman"/>
          <w:sz w:val="24"/>
          <w:szCs w:val="24"/>
        </w:rPr>
        <w:t>kdy</w:t>
      </w:r>
      <w:r w:rsidR="008C6D46" w:rsidRPr="004E3A62">
        <w:rPr>
          <w:rFonts w:ascii="Times New Roman" w:hAnsi="Times New Roman" w:cs="Times New Roman"/>
          <w:sz w:val="24"/>
          <w:szCs w:val="24"/>
        </w:rPr>
        <w:t xml:space="preserve"> nepřímé výdaje máme účtovat v souladu s</w:t>
      </w:r>
      <w:r w:rsidR="00EC33DC" w:rsidRPr="004E3A62">
        <w:rPr>
          <w:rFonts w:ascii="Times New Roman" w:hAnsi="Times New Roman" w:cs="Times New Roman"/>
          <w:sz w:val="24"/>
          <w:szCs w:val="24"/>
        </w:rPr>
        <w:t xml:space="preserve"> jejich správným účetním zachycením. </w:t>
      </w:r>
      <w:r w:rsidR="00A82FBF" w:rsidRPr="004E3A62">
        <w:rPr>
          <w:rFonts w:ascii="Times New Roman" w:hAnsi="Times New Roman" w:cs="Times New Roman"/>
          <w:sz w:val="24"/>
          <w:szCs w:val="24"/>
        </w:rPr>
        <w:t xml:space="preserve">Tu část </w:t>
      </w:r>
      <w:r w:rsidR="00E7482E" w:rsidRPr="004E3A62">
        <w:rPr>
          <w:rFonts w:ascii="Times New Roman" w:hAnsi="Times New Roman" w:cs="Times New Roman"/>
          <w:sz w:val="24"/>
          <w:szCs w:val="24"/>
        </w:rPr>
        <w:t>n</w:t>
      </w:r>
      <w:r w:rsidR="00A82FBF" w:rsidRPr="004E3A62">
        <w:rPr>
          <w:rFonts w:ascii="Times New Roman" w:hAnsi="Times New Roman" w:cs="Times New Roman"/>
          <w:sz w:val="24"/>
          <w:szCs w:val="24"/>
        </w:rPr>
        <w:t>epřímých výdajů, které účtujeme v souladu s účetními předpisy do ceny investice, máme zachytit na účtu 403, na účtu 672 zachycujeme jen tu část, která nám nekryje výdaje na účtu 042, ale kryje skutečné neinvestiční nepřímé výdaje.</w:t>
      </w:r>
    </w:p>
    <w:p w14:paraId="55A46D86" w14:textId="77777777" w:rsidR="00A82FBF" w:rsidRDefault="00A82FBF" w:rsidP="002569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A53C8" w14:textId="6C741896" w:rsidR="00A82FBF" w:rsidRPr="0031584F" w:rsidRDefault="00A82FBF" w:rsidP="002569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58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Příklad</w:t>
      </w:r>
      <w:r w:rsidR="0031584F" w:rsidRPr="003158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</w:t>
      </w:r>
      <w:r w:rsidRPr="003158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31584F">
        <w:rPr>
          <w:rFonts w:ascii="Times New Roman" w:hAnsi="Times New Roman" w:cs="Times New Roman"/>
          <w:i/>
          <w:iCs/>
          <w:sz w:val="24"/>
          <w:szCs w:val="24"/>
        </w:rPr>
        <w:t xml:space="preserve"> Obec </w:t>
      </w:r>
      <w:r w:rsidR="0031584F" w:rsidRPr="0031584F">
        <w:rPr>
          <w:rFonts w:ascii="Times New Roman" w:hAnsi="Times New Roman" w:cs="Times New Roman"/>
          <w:i/>
          <w:iCs/>
          <w:sz w:val="24"/>
          <w:szCs w:val="24"/>
        </w:rPr>
        <w:t>staví nový víceúčelový objekt. V rámci dotace z IROPu jsou vyčísleny přímé a nepřímé výdaje projektu. Přímé výdaje jsou vždy samotné realizační výdaje. V tomto případě jsou přímé výdaje investiční – nová stavba.</w:t>
      </w:r>
      <w:r w:rsidR="00E7482E">
        <w:rPr>
          <w:rFonts w:ascii="Times New Roman" w:hAnsi="Times New Roman" w:cs="Times New Roman"/>
          <w:i/>
          <w:iCs/>
          <w:sz w:val="24"/>
          <w:szCs w:val="24"/>
        </w:rPr>
        <w:t xml:space="preserve"> Obec vynaložila v souvislosti s výstavbou tyto nepřímé výdaje:</w:t>
      </w:r>
    </w:p>
    <w:p w14:paraId="57D2C1E2" w14:textId="79944A0F" w:rsidR="0031584F" w:rsidRPr="0031584F" w:rsidRDefault="0031584F" w:rsidP="0025692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584F">
        <w:rPr>
          <w:rFonts w:ascii="Times New Roman" w:hAnsi="Times New Roman" w:cs="Times New Roman"/>
          <w:i/>
          <w:iCs/>
          <w:sz w:val="24"/>
          <w:szCs w:val="24"/>
        </w:rPr>
        <w:t>VŘ, PD, administrace dotace, poplatek za stavební povolení</w:t>
      </w:r>
    </w:p>
    <w:p w14:paraId="58451EFC" w14:textId="48E30847" w:rsidR="0031584F" w:rsidRDefault="0031584F" w:rsidP="002569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584F">
        <w:rPr>
          <w:rFonts w:ascii="Times New Roman" w:hAnsi="Times New Roman" w:cs="Times New Roman"/>
          <w:i/>
          <w:iCs/>
          <w:sz w:val="24"/>
          <w:szCs w:val="24"/>
        </w:rPr>
        <w:t>Všechny nepřímé výdaje obec zachycuje na účtu 042 jako náklady související se stavbou. Celá výše přímé i nepřímé dotace se postupně zachycuje dohadou na účet 403.</w:t>
      </w:r>
    </w:p>
    <w:p w14:paraId="7AE6E361" w14:textId="77777777" w:rsidR="00E7482E" w:rsidRPr="0031584F" w:rsidRDefault="00E7482E" w:rsidP="002569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899235" w14:textId="11F3BD98" w:rsidR="0031584F" w:rsidRDefault="0031584F" w:rsidP="002569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58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Příklad 2:</w:t>
      </w:r>
      <w:r w:rsidRPr="0031584F">
        <w:rPr>
          <w:rFonts w:ascii="Times New Roman" w:hAnsi="Times New Roman" w:cs="Times New Roman"/>
          <w:i/>
          <w:iCs/>
          <w:sz w:val="24"/>
          <w:szCs w:val="24"/>
        </w:rPr>
        <w:t xml:space="preserve"> Pokračujme v příkladu 1 s tím, že součástí </w:t>
      </w:r>
      <w:r w:rsidR="000D6F8A">
        <w:rPr>
          <w:rFonts w:ascii="Times New Roman" w:hAnsi="Times New Roman" w:cs="Times New Roman"/>
          <w:i/>
          <w:iCs/>
          <w:sz w:val="24"/>
          <w:szCs w:val="24"/>
        </w:rPr>
        <w:t>projektu</w:t>
      </w:r>
      <w:r w:rsidRPr="0031584F">
        <w:rPr>
          <w:rFonts w:ascii="Times New Roman" w:hAnsi="Times New Roman" w:cs="Times New Roman"/>
          <w:i/>
          <w:iCs/>
          <w:sz w:val="24"/>
          <w:szCs w:val="24"/>
        </w:rPr>
        <w:t xml:space="preserve"> je i pořízení movitých věcí</w:t>
      </w:r>
      <w:r w:rsidR="000D6F8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31584F">
        <w:rPr>
          <w:rFonts w:ascii="Times New Roman" w:hAnsi="Times New Roman" w:cs="Times New Roman"/>
          <w:i/>
          <w:iCs/>
          <w:sz w:val="24"/>
          <w:szCs w:val="24"/>
        </w:rPr>
        <w:t>vybavení domu</w:t>
      </w:r>
      <w:r w:rsidR="000D6F8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1584F">
        <w:rPr>
          <w:rFonts w:ascii="Times New Roman" w:hAnsi="Times New Roman" w:cs="Times New Roman"/>
          <w:i/>
          <w:iCs/>
          <w:sz w:val="24"/>
          <w:szCs w:val="24"/>
        </w:rPr>
        <w:t>. Jedná se o několik položek DDHM (účet 028) Celková přímá dotace se tak skládá z investiční dotace určené na stavební část zachycenou na účtu 042 a z neinvestiční dotace určené na pořízení DDHM. Nepřímé výdaje se</w:t>
      </w:r>
      <w:r w:rsidR="000D6F8A">
        <w:rPr>
          <w:rFonts w:ascii="Times New Roman" w:hAnsi="Times New Roman" w:cs="Times New Roman"/>
          <w:i/>
          <w:iCs/>
          <w:sz w:val="24"/>
          <w:szCs w:val="24"/>
        </w:rPr>
        <w:t xml:space="preserve"> tak</w:t>
      </w:r>
      <w:r w:rsidRPr="0031584F">
        <w:rPr>
          <w:rFonts w:ascii="Times New Roman" w:hAnsi="Times New Roman" w:cs="Times New Roman"/>
          <w:i/>
          <w:iCs/>
          <w:sz w:val="24"/>
          <w:szCs w:val="24"/>
        </w:rPr>
        <w:t xml:space="preserve"> poměrově vztahují k části investiční i neinvestiční. Musí dojít k jejich rozpočítání mezi investiční a neinvestiční majetek. Zároveň se musí poměrově rozdělit nepřímá dotace, kdy část, která se vztahuje k investičním výdajům se zaúčtuje na účet 403 k celkové přímé investiční dotaci, část vázající se k neinvestičním nepřímým výdajům se má zachytit na účtu 672.</w:t>
      </w:r>
    </w:p>
    <w:p w14:paraId="4BF7B3D7" w14:textId="6A0310DA" w:rsidR="0083503A" w:rsidRDefault="0083503A" w:rsidP="002569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0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Pozn.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Ne vždy je rozpočítání společných souvisejících výdajů efektivní</w:t>
      </w:r>
      <w:r w:rsidR="004E3A62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3A62">
        <w:rPr>
          <w:rFonts w:ascii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</w:rPr>
        <w:t> některých případech natolik převažuje stavební část, že související výdaje přiřadíme k hodnotově převažující investici</w:t>
      </w:r>
      <w:r w:rsidR="004E3A62">
        <w:rPr>
          <w:rFonts w:ascii="Times New Roman" w:hAnsi="Times New Roman" w:cs="Times New Roman"/>
          <w:i/>
          <w:iCs/>
          <w:sz w:val="24"/>
          <w:szCs w:val="24"/>
        </w:rPr>
        <w:t xml:space="preserve">. V takovém případě pak dotace na nepřímé výdaje opět sleduje osud účtování těchto výdajů – </w:t>
      </w:r>
      <w:proofErr w:type="gramStart"/>
      <w:r w:rsidR="004E3A62">
        <w:rPr>
          <w:rFonts w:ascii="Times New Roman" w:hAnsi="Times New Roman" w:cs="Times New Roman"/>
          <w:i/>
          <w:iCs/>
          <w:sz w:val="24"/>
          <w:szCs w:val="24"/>
        </w:rPr>
        <w:t xml:space="preserve">jsou- </w:t>
      </w:r>
      <w:proofErr w:type="spellStart"/>
      <w:r w:rsidR="004E3A62">
        <w:rPr>
          <w:rFonts w:ascii="Times New Roman" w:hAnsi="Times New Roman" w:cs="Times New Roman"/>
          <w:i/>
          <w:iCs/>
          <w:sz w:val="24"/>
          <w:szCs w:val="24"/>
        </w:rPr>
        <w:t>li</w:t>
      </w:r>
      <w:proofErr w:type="spellEnd"/>
      <w:proofErr w:type="gramEnd"/>
      <w:r w:rsidR="004E3A62">
        <w:rPr>
          <w:rFonts w:ascii="Times New Roman" w:hAnsi="Times New Roman" w:cs="Times New Roman"/>
          <w:i/>
          <w:iCs/>
          <w:sz w:val="24"/>
          <w:szCs w:val="24"/>
        </w:rPr>
        <w:t xml:space="preserve"> všechny nepřímé výdaje zachyceny na účtu 042, patří i celá nepřímá dotace na účet 403. </w:t>
      </w:r>
    </w:p>
    <w:p w14:paraId="58958ED2" w14:textId="77777777" w:rsidR="004156FB" w:rsidRDefault="004156FB" w:rsidP="002569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51AC5C" w14:textId="44FBBBB6" w:rsidR="004156FB" w:rsidRDefault="0031584F" w:rsidP="002569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MF na výše uvedené příklady v metodice uvádí souhrnné modelové rozpočítání vzorové dotace.</w:t>
      </w:r>
    </w:p>
    <w:p w14:paraId="2AE34E4C" w14:textId="60B90375" w:rsidR="00F456D5" w:rsidRDefault="00F456D5" w:rsidP="004E3A6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Rozpočtové zachycení</w:t>
      </w:r>
      <w:r w:rsidR="00995C3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95C38" w:rsidRPr="00A1077F">
        <w:rPr>
          <w:rFonts w:ascii="Times New Roman" w:hAnsi="Times New Roman" w:cs="Times New Roman"/>
          <w:sz w:val="24"/>
          <w:szCs w:val="24"/>
        </w:rPr>
        <w:t xml:space="preserve">MF shrnuje základní pravidla u metody </w:t>
      </w:r>
      <w:proofErr w:type="gramStart"/>
      <w:r w:rsidR="00995C38" w:rsidRPr="00A1077F">
        <w:rPr>
          <w:rFonts w:ascii="Times New Roman" w:hAnsi="Times New Roman" w:cs="Times New Roman"/>
          <w:sz w:val="24"/>
          <w:szCs w:val="24"/>
        </w:rPr>
        <w:t>ZMV - nepřímé</w:t>
      </w:r>
      <w:proofErr w:type="gramEnd"/>
      <w:r w:rsidR="00995C38" w:rsidRPr="00A1077F">
        <w:rPr>
          <w:rFonts w:ascii="Times New Roman" w:hAnsi="Times New Roman" w:cs="Times New Roman"/>
          <w:sz w:val="24"/>
          <w:szCs w:val="24"/>
        </w:rPr>
        <w:t xml:space="preserve"> výdaje se poskytovateli nedokládají, nekontroluje se jejich účtování ani rozpočtové zachycení. Skutečné nepřímé výdaje mohou být investiční i neinvestiční, dotace na ně vždy neinvestiční. </w:t>
      </w:r>
    </w:p>
    <w:p w14:paraId="761932E7" w14:textId="77777777" w:rsidR="00D30667" w:rsidRPr="00A1077F" w:rsidRDefault="00D30667" w:rsidP="00D3066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1030771" w14:textId="49AA1585" w:rsidR="00995C38" w:rsidRPr="00096BAB" w:rsidRDefault="00995C38" w:rsidP="00256929">
      <w:pPr>
        <w:jc w:val="both"/>
        <w:rPr>
          <w:rFonts w:ascii="Times New Roman" w:hAnsi="Times New Roman" w:cs="Times New Roman"/>
          <w:sz w:val="24"/>
          <w:szCs w:val="24"/>
        </w:rPr>
      </w:pPr>
      <w:r w:rsidRPr="00096BAB">
        <w:rPr>
          <w:rFonts w:ascii="Times New Roman" w:hAnsi="Times New Roman" w:cs="Times New Roman"/>
          <w:sz w:val="24"/>
          <w:szCs w:val="24"/>
        </w:rPr>
        <w:t>Příjem nepřímé dotace se zachycuje vždy na neinvestiční příjmové položce, nejčastěji jsou to položky 4116 (poskytovatel ministerstvo) nebo položka 4113 (poskytovatel státní fond)</w:t>
      </w:r>
      <w:r w:rsidR="00D61D28">
        <w:rPr>
          <w:rFonts w:ascii="Times New Roman" w:hAnsi="Times New Roman" w:cs="Times New Roman"/>
          <w:sz w:val="24"/>
          <w:szCs w:val="24"/>
        </w:rPr>
        <w:t xml:space="preserve">, vždy s neinvestičním účelovým znakem. </w:t>
      </w:r>
    </w:p>
    <w:p w14:paraId="370CD086" w14:textId="65C19E37" w:rsidR="00995C38" w:rsidRDefault="00995C38" w:rsidP="00256929">
      <w:pPr>
        <w:jc w:val="both"/>
        <w:rPr>
          <w:rFonts w:ascii="Times New Roman" w:hAnsi="Times New Roman" w:cs="Times New Roman"/>
          <w:sz w:val="24"/>
          <w:szCs w:val="24"/>
        </w:rPr>
      </w:pPr>
      <w:r w:rsidRPr="008A1B59">
        <w:rPr>
          <w:rFonts w:ascii="Times New Roman" w:hAnsi="Times New Roman" w:cs="Times New Roman"/>
          <w:sz w:val="24"/>
          <w:szCs w:val="24"/>
        </w:rPr>
        <w:t>U výdaj</w:t>
      </w:r>
      <w:r w:rsidR="00D61D28">
        <w:rPr>
          <w:rFonts w:ascii="Times New Roman" w:hAnsi="Times New Roman" w:cs="Times New Roman"/>
          <w:sz w:val="24"/>
          <w:szCs w:val="24"/>
        </w:rPr>
        <w:t xml:space="preserve">ů </w:t>
      </w:r>
      <w:r w:rsidRPr="008A1B59">
        <w:rPr>
          <w:rFonts w:ascii="Times New Roman" w:hAnsi="Times New Roman" w:cs="Times New Roman"/>
          <w:sz w:val="24"/>
          <w:szCs w:val="24"/>
        </w:rPr>
        <w:t xml:space="preserve">se používá položka s ohledem na skutečné účetní zachycení. </w:t>
      </w:r>
      <w:r w:rsidR="00D61D28">
        <w:rPr>
          <w:rFonts w:ascii="Times New Roman" w:hAnsi="Times New Roman" w:cs="Times New Roman"/>
          <w:sz w:val="24"/>
          <w:szCs w:val="24"/>
        </w:rPr>
        <w:t xml:space="preserve">Nepřímé výdaje investiční se účtují jako kapitálový výdaj (položka 6xxx), nepřímé výdaje neinvestiční jako běžný výdaj (položka 5xxx). </w:t>
      </w:r>
      <w:r w:rsidRPr="008A1B59">
        <w:rPr>
          <w:rFonts w:ascii="Times New Roman" w:hAnsi="Times New Roman" w:cs="Times New Roman"/>
          <w:sz w:val="24"/>
          <w:szCs w:val="24"/>
        </w:rPr>
        <w:t>Může ta</w:t>
      </w:r>
      <w:r w:rsidR="008A1B59" w:rsidRPr="008A1B59">
        <w:rPr>
          <w:rFonts w:ascii="Times New Roman" w:hAnsi="Times New Roman" w:cs="Times New Roman"/>
          <w:sz w:val="24"/>
          <w:szCs w:val="24"/>
        </w:rPr>
        <w:t>k</w:t>
      </w:r>
      <w:r w:rsidRPr="008A1B59">
        <w:rPr>
          <w:rFonts w:ascii="Times New Roman" w:hAnsi="Times New Roman" w:cs="Times New Roman"/>
          <w:sz w:val="24"/>
          <w:szCs w:val="24"/>
        </w:rPr>
        <w:t xml:space="preserve"> nastat situace, kdy u kapitálové výdajové položky použijeme neinvestiční ÚZ.</w:t>
      </w:r>
    </w:p>
    <w:p w14:paraId="65958B1E" w14:textId="77777777" w:rsidR="003F6AC6" w:rsidRPr="008A1B59" w:rsidRDefault="003F6AC6" w:rsidP="002569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CC383" w14:textId="0D7FA193" w:rsidR="00995C38" w:rsidRPr="0031584F" w:rsidRDefault="00995C38" w:rsidP="002569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0B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Příklad</w:t>
      </w:r>
      <w:r w:rsidR="000D0BD6" w:rsidRPr="000D0B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1584F">
        <w:rPr>
          <w:rFonts w:ascii="Times New Roman" w:hAnsi="Times New Roman" w:cs="Times New Roman"/>
          <w:i/>
          <w:iCs/>
          <w:sz w:val="24"/>
          <w:szCs w:val="24"/>
        </w:rPr>
        <w:t>Obec staví nový víceúčelový objekt. V rámci dotace z IROPu jsou vyčísleny přímé a nepřímé výdaje projektu. Přímé výdaje jsou vždy samotné realizační výdaje. V tomto případě jsou přímé výdaje investiční – nová stavba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pol. 6121. </w:t>
      </w:r>
      <w:r w:rsidRPr="0031584F">
        <w:rPr>
          <w:rFonts w:ascii="Times New Roman" w:hAnsi="Times New Roman" w:cs="Times New Roman"/>
          <w:i/>
          <w:iCs/>
          <w:sz w:val="24"/>
          <w:szCs w:val="24"/>
        </w:rPr>
        <w:t>Jako nepřímé výdaje obec vynaložila tyto:</w:t>
      </w:r>
    </w:p>
    <w:p w14:paraId="68F54158" w14:textId="7D56441F" w:rsidR="00995C38" w:rsidRPr="0031584F" w:rsidRDefault="0056404C" w:rsidP="0025692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Výběrové řízení, projektová dokumentace</w:t>
      </w:r>
    </w:p>
    <w:p w14:paraId="4B92E2B4" w14:textId="3BAD7298" w:rsidR="0056404C" w:rsidRDefault="00995C38" w:rsidP="002569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584F">
        <w:rPr>
          <w:rFonts w:ascii="Times New Roman" w:hAnsi="Times New Roman" w:cs="Times New Roman"/>
          <w:i/>
          <w:iCs/>
          <w:sz w:val="24"/>
          <w:szCs w:val="24"/>
        </w:rPr>
        <w:t>Všechny nepřímé výdaje obec zachycuje na účtu 042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 pol. 6121</w:t>
      </w:r>
      <w:r w:rsidRPr="0031584F">
        <w:rPr>
          <w:rFonts w:ascii="Times New Roman" w:hAnsi="Times New Roman" w:cs="Times New Roman"/>
          <w:i/>
          <w:iCs/>
          <w:sz w:val="24"/>
          <w:szCs w:val="24"/>
        </w:rPr>
        <w:t xml:space="preserve"> jako náklady související se stavbou. Celá výše přímé i nepřímé dotace se postupně zachycuje dohadou na účet 403.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Výdaje </w:t>
      </w:r>
      <w:r w:rsidR="00731B6B">
        <w:rPr>
          <w:rFonts w:ascii="Times New Roman" w:hAnsi="Times New Roman" w:cs="Times New Roman"/>
          <w:i/>
          <w:iCs/>
          <w:sz w:val="24"/>
          <w:szCs w:val="24"/>
        </w:rPr>
        <w:t xml:space="preserve">na položce 6121 </w:t>
      </w:r>
      <w:r w:rsidR="00A45F1B">
        <w:rPr>
          <w:rFonts w:ascii="Times New Roman" w:hAnsi="Times New Roman" w:cs="Times New Roman"/>
          <w:i/>
          <w:iCs/>
          <w:sz w:val="24"/>
          <w:szCs w:val="24"/>
        </w:rPr>
        <w:t>mají být</w:t>
      </w:r>
      <w:r w:rsidR="00731B6B">
        <w:rPr>
          <w:rFonts w:ascii="Times New Roman" w:hAnsi="Times New Roman" w:cs="Times New Roman"/>
          <w:i/>
          <w:iCs/>
          <w:sz w:val="24"/>
          <w:szCs w:val="24"/>
        </w:rPr>
        <w:t xml:space="preserve"> označeny </w:t>
      </w:r>
      <w:r w:rsidR="0056404C">
        <w:rPr>
          <w:rFonts w:ascii="Times New Roman" w:hAnsi="Times New Roman" w:cs="Times New Roman"/>
          <w:i/>
          <w:iCs/>
          <w:sz w:val="24"/>
          <w:szCs w:val="24"/>
        </w:rPr>
        <w:t>takto:</w:t>
      </w:r>
    </w:p>
    <w:p w14:paraId="40D4617C" w14:textId="46506518" w:rsidR="0056404C" w:rsidRDefault="0056404C" w:rsidP="0056404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Přímé investiční výdaje – faktury za stavební práce</w:t>
      </w:r>
      <w:r w:rsidR="00A45F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 značí ve výši přímé dotace </w:t>
      </w:r>
      <w:r w:rsidR="00731B6B" w:rsidRPr="0056404C">
        <w:rPr>
          <w:rFonts w:ascii="Times New Roman" w:hAnsi="Times New Roman" w:cs="Times New Roman"/>
          <w:i/>
          <w:iCs/>
          <w:sz w:val="24"/>
          <w:szCs w:val="24"/>
        </w:rPr>
        <w:t>investičním ÚZ 17518 (podíl SR) a 17519 (podíl EU</w:t>
      </w:r>
      <w:r>
        <w:rPr>
          <w:rFonts w:ascii="Times New Roman" w:hAnsi="Times New Roman" w:cs="Times New Roman"/>
          <w:i/>
          <w:iCs/>
          <w:sz w:val="24"/>
          <w:szCs w:val="24"/>
        </w:rPr>
        <w:t>), k tomu klasicky nástroj a zdroj</w:t>
      </w:r>
    </w:p>
    <w:p w14:paraId="3230EACB" w14:textId="77777777" w:rsidR="0056404C" w:rsidRDefault="0056404C" w:rsidP="0056404C">
      <w:pPr>
        <w:pStyle w:val="Odstavecseseznamem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D8B51F" w14:textId="13637851" w:rsidR="00995C38" w:rsidRPr="0056404C" w:rsidRDefault="0056404C" w:rsidP="0056404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Nepřímé investiční výdaje – faktury za VŘ, PD se značí </w:t>
      </w:r>
      <w:r w:rsidR="00731B6B" w:rsidRPr="0056404C">
        <w:rPr>
          <w:rFonts w:ascii="Times New Roman" w:hAnsi="Times New Roman" w:cs="Times New Roman"/>
          <w:i/>
          <w:iCs/>
          <w:sz w:val="24"/>
          <w:szCs w:val="24"/>
        </w:rPr>
        <w:t xml:space="preserve">ve výši </w:t>
      </w:r>
      <w:r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="00731B6B" w:rsidRPr="0056404C">
        <w:rPr>
          <w:rFonts w:ascii="Times New Roman" w:hAnsi="Times New Roman" w:cs="Times New Roman"/>
          <w:i/>
          <w:iCs/>
          <w:sz w:val="24"/>
          <w:szCs w:val="24"/>
        </w:rPr>
        <w:t>přímé dotace ÚZ 17084 (podíl SR) a 17085 (podíl EU)</w:t>
      </w:r>
      <w:r>
        <w:rPr>
          <w:rFonts w:ascii="Times New Roman" w:hAnsi="Times New Roman" w:cs="Times New Roman"/>
          <w:i/>
          <w:iCs/>
          <w:sz w:val="24"/>
          <w:szCs w:val="24"/>
        </w:rPr>
        <w:t>, k tomu klasicky nástroj a zdroj</w:t>
      </w:r>
    </w:p>
    <w:p w14:paraId="6197CCCE" w14:textId="77777777" w:rsidR="007A035A" w:rsidRDefault="007A035A" w:rsidP="0025692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44E60C" w14:textId="4348F97B" w:rsidR="00995C38" w:rsidRPr="00A45F1B" w:rsidRDefault="0056404C" w:rsidP="002569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5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Pozn. </w:t>
      </w:r>
      <w:r w:rsidRPr="00A45F1B">
        <w:rPr>
          <w:rFonts w:ascii="Times New Roman" w:hAnsi="Times New Roman" w:cs="Times New Roman"/>
          <w:i/>
          <w:iCs/>
          <w:sz w:val="24"/>
          <w:szCs w:val="24"/>
        </w:rPr>
        <w:t>Vlastní podíl se značí bez ÚZ, jen nástrojem a zdrojem 1.</w:t>
      </w:r>
    </w:p>
    <w:p w14:paraId="62467024" w14:textId="77777777" w:rsidR="007A035A" w:rsidRDefault="007A035A" w:rsidP="002569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DF38B" w14:textId="083EAD75" w:rsidR="0056404C" w:rsidRPr="0056404C" w:rsidRDefault="0056404C" w:rsidP="00256929">
      <w:pPr>
        <w:jc w:val="both"/>
        <w:rPr>
          <w:rFonts w:ascii="Times New Roman" w:hAnsi="Times New Roman" w:cs="Times New Roman"/>
          <w:sz w:val="24"/>
          <w:szCs w:val="24"/>
        </w:rPr>
      </w:pPr>
      <w:r w:rsidRPr="0056404C">
        <w:rPr>
          <w:rFonts w:ascii="Times New Roman" w:hAnsi="Times New Roman" w:cs="Times New Roman"/>
          <w:sz w:val="24"/>
          <w:szCs w:val="24"/>
        </w:rPr>
        <w:t xml:space="preserve">Některé obce chybují v tom, že faktury na přímé výdaje označují neinvestičním ÚZ. Nepřímé výdaje jsou sice paušálně určovány z výše přímých výdajů, ale neznamená to, že by přímé výdaje byly kryty nepřímou dotací. </w:t>
      </w:r>
      <w:r w:rsidR="00C71295">
        <w:rPr>
          <w:rFonts w:ascii="Times New Roman" w:hAnsi="Times New Roman" w:cs="Times New Roman"/>
          <w:sz w:val="24"/>
          <w:szCs w:val="24"/>
        </w:rPr>
        <w:t>Nepřímá dotace kryje nepřímé výdaje. Pokud žádné nepřímé výdaje nevzniknou,</w:t>
      </w:r>
      <w:r w:rsidR="00A45F1B">
        <w:rPr>
          <w:rFonts w:ascii="Times New Roman" w:hAnsi="Times New Roman" w:cs="Times New Roman"/>
          <w:sz w:val="24"/>
          <w:szCs w:val="24"/>
        </w:rPr>
        <w:t xml:space="preserve"> ale zrealizují se přímé výdaje,</w:t>
      </w:r>
      <w:r w:rsidR="00C71295">
        <w:rPr>
          <w:rFonts w:ascii="Times New Roman" w:hAnsi="Times New Roman" w:cs="Times New Roman"/>
          <w:sz w:val="24"/>
          <w:szCs w:val="24"/>
        </w:rPr>
        <w:t xml:space="preserve"> na </w:t>
      </w:r>
      <w:r w:rsidR="00A45F1B">
        <w:rPr>
          <w:rFonts w:ascii="Times New Roman" w:hAnsi="Times New Roman" w:cs="Times New Roman"/>
          <w:sz w:val="24"/>
          <w:szCs w:val="24"/>
        </w:rPr>
        <w:t xml:space="preserve">nepřímou </w:t>
      </w:r>
      <w:r w:rsidR="00C71295">
        <w:rPr>
          <w:rFonts w:ascii="Times New Roman" w:hAnsi="Times New Roman" w:cs="Times New Roman"/>
          <w:sz w:val="24"/>
          <w:szCs w:val="24"/>
        </w:rPr>
        <w:t>dotaci je nárok</w:t>
      </w:r>
      <w:r w:rsidR="005D1066">
        <w:rPr>
          <w:rFonts w:ascii="Times New Roman" w:hAnsi="Times New Roman" w:cs="Times New Roman"/>
          <w:sz w:val="24"/>
          <w:szCs w:val="24"/>
        </w:rPr>
        <w:t xml:space="preserve"> </w:t>
      </w:r>
      <w:r w:rsidR="00C77C77">
        <w:rPr>
          <w:rFonts w:ascii="Times New Roman" w:hAnsi="Times New Roman" w:cs="Times New Roman"/>
          <w:sz w:val="24"/>
          <w:szCs w:val="24"/>
        </w:rPr>
        <w:t>(</w:t>
      </w:r>
      <w:r w:rsidR="00C71295">
        <w:rPr>
          <w:rFonts w:ascii="Times New Roman" w:hAnsi="Times New Roman" w:cs="Times New Roman"/>
          <w:sz w:val="24"/>
          <w:szCs w:val="24"/>
        </w:rPr>
        <w:t>zaúčtuje se celá na účet 672</w:t>
      </w:r>
      <w:r w:rsidR="00C77C77">
        <w:rPr>
          <w:rFonts w:ascii="Times New Roman" w:hAnsi="Times New Roman" w:cs="Times New Roman"/>
          <w:sz w:val="24"/>
          <w:szCs w:val="24"/>
        </w:rPr>
        <w:t>)</w:t>
      </w:r>
      <w:r w:rsidR="00C712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83B934" w14:textId="77777777" w:rsidR="0031584F" w:rsidRDefault="0031584F" w:rsidP="002569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97D89" w14:textId="77777777" w:rsidR="008B72B7" w:rsidRDefault="008B72B7" w:rsidP="002569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0732E" w14:textId="77777777" w:rsidR="008B72B7" w:rsidRDefault="008B72B7" w:rsidP="002569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2EDFA" w14:textId="77777777" w:rsidR="008B72B7" w:rsidRPr="0031584F" w:rsidRDefault="008B72B7" w:rsidP="002569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FDB25" w14:textId="42C11E0A" w:rsidR="00113078" w:rsidRDefault="00113078" w:rsidP="0025692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078">
        <w:rPr>
          <w:rFonts w:ascii="Times New Roman" w:hAnsi="Times New Roman" w:cs="Times New Roman"/>
          <w:b/>
          <w:bCs/>
          <w:sz w:val="24"/>
          <w:szCs w:val="24"/>
        </w:rPr>
        <w:lastRenderedPageBreak/>
        <w:t>Metodika k rozpočtovému zatřídění dotací</w:t>
      </w:r>
      <w:r w:rsidR="008A1B59">
        <w:rPr>
          <w:rFonts w:ascii="Times New Roman" w:hAnsi="Times New Roman" w:cs="Times New Roman"/>
          <w:b/>
          <w:bCs/>
          <w:sz w:val="24"/>
          <w:szCs w:val="24"/>
        </w:rPr>
        <w:t xml:space="preserve"> poskytovaných na úhradu paušálních výdajů</w:t>
      </w:r>
    </w:p>
    <w:p w14:paraId="2580C879" w14:textId="77777777" w:rsidR="004F46B8" w:rsidRPr="00113078" w:rsidRDefault="004F46B8" w:rsidP="004F46B8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70284" w14:textId="77777777" w:rsidR="00113078" w:rsidRDefault="00113078" w:rsidP="00256929">
      <w:pPr>
        <w:jc w:val="both"/>
      </w:pPr>
      <w:hyperlink r:id="rId10" w:history="1">
        <w:r w:rsidRPr="00CF7524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https://www.mfcr.cz/cs/rozpoctova-politika/uzemni-rozpocty/legislativa-a-metodicka-podpora-uzemnich-rozpoctu/2024/rozpoctove-zatrideni-dotaci-poskytovanych-na-uhrad-56030</w:t>
        </w:r>
      </w:hyperlink>
    </w:p>
    <w:p w14:paraId="6E131563" w14:textId="58374EAC" w:rsidR="000E627B" w:rsidRPr="000E627B" w:rsidRDefault="000E627B" w:rsidP="002569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35336" w14:textId="3EFBAFA5" w:rsidR="000E627B" w:rsidRDefault="000E627B" w:rsidP="00256929">
      <w:pPr>
        <w:jc w:val="both"/>
        <w:rPr>
          <w:rFonts w:ascii="Times New Roman" w:hAnsi="Times New Roman" w:cs="Times New Roman"/>
          <w:sz w:val="24"/>
          <w:szCs w:val="24"/>
        </w:rPr>
      </w:pPr>
      <w:r w:rsidRPr="000E627B">
        <w:rPr>
          <w:rFonts w:ascii="Times New Roman" w:hAnsi="Times New Roman" w:cs="Times New Roman"/>
          <w:sz w:val="24"/>
          <w:szCs w:val="24"/>
        </w:rPr>
        <w:t xml:space="preserve">Jak zde bylo již zmíněno, nepřímá dotace se určuje tak, že se nejprve z hodnoty přímých výdajů určí </w:t>
      </w:r>
      <w:proofErr w:type="spellStart"/>
      <w:r w:rsidRPr="000E627B">
        <w:rPr>
          <w:rFonts w:ascii="Times New Roman" w:hAnsi="Times New Roman" w:cs="Times New Roman"/>
          <w:sz w:val="24"/>
          <w:szCs w:val="24"/>
        </w:rPr>
        <w:t>procenticky</w:t>
      </w:r>
      <w:proofErr w:type="spellEnd"/>
      <w:r w:rsidRPr="000E627B">
        <w:rPr>
          <w:rFonts w:ascii="Times New Roman" w:hAnsi="Times New Roman" w:cs="Times New Roman"/>
          <w:sz w:val="24"/>
          <w:szCs w:val="24"/>
        </w:rPr>
        <w:t xml:space="preserve"> výše paušálních nepřímých výdajů</w:t>
      </w:r>
      <w:r w:rsidR="007A35B6">
        <w:rPr>
          <w:rFonts w:ascii="Times New Roman" w:hAnsi="Times New Roman" w:cs="Times New Roman"/>
          <w:sz w:val="24"/>
          <w:szCs w:val="24"/>
        </w:rPr>
        <w:t xml:space="preserve"> (např. u IROPu je to 7 %, u OPŽP je procento určeno s ohledem na celkové náklady projektu)</w:t>
      </w:r>
      <w:r w:rsidRPr="000E627B">
        <w:rPr>
          <w:rFonts w:ascii="Times New Roman" w:hAnsi="Times New Roman" w:cs="Times New Roman"/>
          <w:sz w:val="24"/>
          <w:szCs w:val="24"/>
        </w:rPr>
        <w:t xml:space="preserve">, následně se stanoveným procentem </w:t>
      </w:r>
      <w:r w:rsidR="007A35B6">
        <w:rPr>
          <w:rFonts w:ascii="Times New Roman" w:hAnsi="Times New Roman" w:cs="Times New Roman"/>
          <w:sz w:val="24"/>
          <w:szCs w:val="24"/>
        </w:rPr>
        <w:t xml:space="preserve">dotace </w:t>
      </w:r>
      <w:r w:rsidRPr="000E627B">
        <w:rPr>
          <w:rFonts w:ascii="Times New Roman" w:hAnsi="Times New Roman" w:cs="Times New Roman"/>
          <w:sz w:val="24"/>
          <w:szCs w:val="24"/>
        </w:rPr>
        <w:t xml:space="preserve">určí výše nepřímé dotace (procento dotace je stejné pro přímé i nepřímé výdaje). </w:t>
      </w:r>
    </w:p>
    <w:p w14:paraId="5B0D66DB" w14:textId="231249E1" w:rsidR="007A35B6" w:rsidRDefault="007A35B6" w:rsidP="00256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Skutečné (zrealizované) nepřímé výdaje </w:t>
      </w:r>
      <w:r w:rsidR="00E85086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 xml:space="preserve">nabývají </w:t>
      </w:r>
      <w:r w:rsidR="00E85086">
        <w:rPr>
          <w:rFonts w:ascii="Times New Roman" w:hAnsi="Times New Roman" w:cs="Times New Roman"/>
          <w:sz w:val="24"/>
          <w:szCs w:val="24"/>
        </w:rPr>
        <w:t xml:space="preserve">oproti poskytovatelem určené výše </w:t>
      </w:r>
      <w:r>
        <w:rPr>
          <w:rFonts w:ascii="Times New Roman" w:hAnsi="Times New Roman" w:cs="Times New Roman"/>
          <w:sz w:val="24"/>
          <w:szCs w:val="24"/>
        </w:rPr>
        <w:t xml:space="preserve">v praxi různých hodnot, mohou být často vyšší, než přiznaná nepřímá dotace apod. </w:t>
      </w:r>
    </w:p>
    <w:p w14:paraId="0A9EE76D" w14:textId="512899C4" w:rsidR="007A35B6" w:rsidRPr="000E627B" w:rsidRDefault="007A35B6" w:rsidP="00256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paušálních dotací platí dle metodiky MF obecné pravidlo, kdy skutečné výdaje značíme NZÚZ do výše paušální dotace. </w:t>
      </w:r>
    </w:p>
    <w:p w14:paraId="5EF5C52D" w14:textId="3C391B14" w:rsidR="007A35B6" w:rsidRDefault="007A35B6" w:rsidP="00256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výše zmíněné metodice je</w:t>
      </w:r>
      <w:r w:rsidR="00113078" w:rsidRPr="008A1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toto pravidlo blíže specifikováno tak, že </w:t>
      </w:r>
      <w:r w:rsidR="00113078" w:rsidRPr="008A1B59">
        <w:rPr>
          <w:rFonts w:ascii="Times New Roman" w:hAnsi="Times New Roman" w:cs="Times New Roman"/>
          <w:sz w:val="24"/>
          <w:szCs w:val="24"/>
        </w:rPr>
        <w:t xml:space="preserve">nepřímé výdaje </w:t>
      </w:r>
      <w:r>
        <w:rPr>
          <w:rFonts w:ascii="Times New Roman" w:hAnsi="Times New Roman" w:cs="Times New Roman"/>
          <w:sz w:val="24"/>
          <w:szCs w:val="24"/>
        </w:rPr>
        <w:t>se mají značit</w:t>
      </w:r>
      <w:r w:rsidR="00113078" w:rsidRPr="008A1B59">
        <w:rPr>
          <w:rFonts w:ascii="Times New Roman" w:hAnsi="Times New Roman" w:cs="Times New Roman"/>
          <w:sz w:val="24"/>
          <w:szCs w:val="24"/>
        </w:rPr>
        <w:t xml:space="preserve"> </w:t>
      </w:r>
      <w:r w:rsidR="000E627B">
        <w:rPr>
          <w:rFonts w:ascii="Times New Roman" w:hAnsi="Times New Roman" w:cs="Times New Roman"/>
          <w:sz w:val="24"/>
          <w:szCs w:val="24"/>
        </w:rPr>
        <w:t>NZÚZ</w:t>
      </w:r>
      <w:r>
        <w:rPr>
          <w:rFonts w:ascii="Times New Roman" w:hAnsi="Times New Roman" w:cs="Times New Roman"/>
          <w:sz w:val="24"/>
          <w:szCs w:val="24"/>
        </w:rPr>
        <w:t xml:space="preserve"> v tomto pořadí:</w:t>
      </w:r>
    </w:p>
    <w:p w14:paraId="5EB686B0" w14:textId="42ABB025" w:rsidR="00E85086" w:rsidRDefault="000E627B" w:rsidP="00104686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086">
        <w:rPr>
          <w:rFonts w:ascii="Times New Roman" w:hAnsi="Times New Roman" w:cs="Times New Roman"/>
          <w:sz w:val="24"/>
          <w:szCs w:val="24"/>
        </w:rPr>
        <w:t>podíl EU</w:t>
      </w:r>
    </w:p>
    <w:p w14:paraId="657933CE" w14:textId="2108BC9A" w:rsidR="00E85086" w:rsidRDefault="00104686" w:rsidP="00104686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</w:t>
      </w:r>
      <w:r w:rsidR="00113078" w:rsidRPr="00E85086">
        <w:rPr>
          <w:rFonts w:ascii="Times New Roman" w:hAnsi="Times New Roman" w:cs="Times New Roman"/>
          <w:sz w:val="24"/>
          <w:szCs w:val="24"/>
        </w:rPr>
        <w:t>sledně podíl SR (je-li sjednán)</w:t>
      </w:r>
    </w:p>
    <w:p w14:paraId="00986743" w14:textId="3DF6DC6B" w:rsidR="00113078" w:rsidRPr="00E85086" w:rsidRDefault="00104686" w:rsidP="00104686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113078" w:rsidRPr="00E85086">
        <w:rPr>
          <w:rFonts w:ascii="Times New Roman" w:hAnsi="Times New Roman" w:cs="Times New Roman"/>
          <w:sz w:val="24"/>
          <w:szCs w:val="24"/>
        </w:rPr>
        <w:t xml:space="preserve">en pokud zbyde prostor (skutečné nepřímé výdaje jsou dostačující), značíme nakonec i vlastní podíl. </w:t>
      </w:r>
    </w:p>
    <w:p w14:paraId="22B8F68A" w14:textId="77777777" w:rsidR="00090ADF" w:rsidRDefault="00090ADF" w:rsidP="00256A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776BBB" w14:textId="133AC4BA" w:rsidR="00AD74A2" w:rsidRPr="00437CFB" w:rsidRDefault="00AD74A2" w:rsidP="00256A8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7C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Příklad</w:t>
      </w:r>
      <w:r w:rsidR="000D0B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</w:t>
      </w:r>
      <w:r w:rsidRPr="00437C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12CB" w:rsidRPr="00437CFB">
        <w:rPr>
          <w:rFonts w:ascii="Times New Roman" w:hAnsi="Times New Roman" w:cs="Times New Roman"/>
          <w:i/>
          <w:iCs/>
          <w:sz w:val="24"/>
          <w:szCs w:val="24"/>
        </w:rPr>
        <w:t>Dotace z IROP od MMR. Podíl EU 80 %, podíl SR 15 %, vlastní podíl 5 %.</w:t>
      </w:r>
    </w:p>
    <w:p w14:paraId="7C5479D8" w14:textId="7134715F" w:rsidR="008C12CB" w:rsidRPr="00437CFB" w:rsidRDefault="008C12CB" w:rsidP="00256A8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7CFB">
        <w:rPr>
          <w:rFonts w:ascii="Times New Roman" w:hAnsi="Times New Roman" w:cs="Times New Roman"/>
          <w:i/>
          <w:iCs/>
          <w:sz w:val="24"/>
          <w:szCs w:val="24"/>
        </w:rPr>
        <w:t>Nepřímé výdaje dle rozhodnutí 100 tis. Kč, nepřímá dotace EU 80 tis. Kč, SR 15 tis. Kč, vlastní podíl 5</w:t>
      </w:r>
      <w:r w:rsidR="00A77B61"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 tis. Kč. </w:t>
      </w:r>
    </w:p>
    <w:p w14:paraId="65004E4B" w14:textId="415CDD73" w:rsidR="008C12CB" w:rsidRPr="00437CFB" w:rsidRDefault="008C12CB" w:rsidP="00256A8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7CFB">
        <w:rPr>
          <w:rFonts w:ascii="Times New Roman" w:hAnsi="Times New Roman" w:cs="Times New Roman"/>
          <w:i/>
          <w:iCs/>
          <w:sz w:val="24"/>
          <w:szCs w:val="24"/>
        </w:rPr>
        <w:t>Skutečné nepřímé výdaje</w:t>
      </w:r>
      <w:r w:rsidR="00422AF9" w:rsidRPr="00437CFB">
        <w:rPr>
          <w:rFonts w:ascii="Times New Roman" w:hAnsi="Times New Roman" w:cs="Times New Roman"/>
          <w:i/>
          <w:iCs/>
          <w:sz w:val="24"/>
          <w:szCs w:val="24"/>
        </w:rPr>
        <w:t>, varianty:</w:t>
      </w:r>
    </w:p>
    <w:p w14:paraId="6578E3FC" w14:textId="07253515" w:rsidR="008C12CB" w:rsidRPr="00437CFB" w:rsidRDefault="008C12CB" w:rsidP="008C12C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37CFB">
        <w:rPr>
          <w:rFonts w:ascii="Times New Roman" w:hAnsi="Times New Roman" w:cs="Times New Roman"/>
          <w:i/>
          <w:iCs/>
          <w:sz w:val="24"/>
          <w:szCs w:val="24"/>
        </w:rPr>
        <w:t>20 tis. Kč</w:t>
      </w:r>
      <w:r w:rsidR="00A77B61"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 – všechny nepřímé výdaje až do celkové částky 20 tis. Kč značíme</w:t>
      </w:r>
      <w:r w:rsidR="000D0BD6">
        <w:rPr>
          <w:rFonts w:ascii="Times New Roman" w:hAnsi="Times New Roman" w:cs="Times New Roman"/>
          <w:i/>
          <w:iCs/>
          <w:sz w:val="24"/>
          <w:szCs w:val="24"/>
        </w:rPr>
        <w:t xml:space="preserve"> dle MF</w:t>
      </w:r>
      <w:r w:rsidR="00A77B61"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 ÚZ 17085, nástrojem 149 a zdrojem 5</w:t>
      </w:r>
    </w:p>
    <w:p w14:paraId="3205F0C4" w14:textId="77777777" w:rsidR="00422AF9" w:rsidRPr="00437CFB" w:rsidRDefault="00422AF9" w:rsidP="00422AF9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</w:p>
    <w:p w14:paraId="2D3F34A0" w14:textId="68718033" w:rsidR="00422AF9" w:rsidRPr="000D0BD6" w:rsidRDefault="008C12CB" w:rsidP="000D0BD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37CFB">
        <w:rPr>
          <w:rFonts w:ascii="Times New Roman" w:hAnsi="Times New Roman" w:cs="Times New Roman"/>
          <w:i/>
          <w:iCs/>
          <w:sz w:val="24"/>
          <w:szCs w:val="24"/>
        </w:rPr>
        <w:t>90 tis. Kč</w:t>
      </w:r>
      <w:r w:rsidR="00A77B61"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 – ve výši 80 tis. Kč značíme nepřímé výdaje ÚZ 17085, nástrojem 149 a zdrojem 5, ve výši 10 tis. Kč je značíme ÚZ 17084, nástrojem 149 a zdrojem 1</w:t>
      </w:r>
    </w:p>
    <w:p w14:paraId="7769B484" w14:textId="77777777" w:rsidR="00422AF9" w:rsidRPr="00437CFB" w:rsidRDefault="00422AF9" w:rsidP="00422AF9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</w:p>
    <w:p w14:paraId="72E69BF8" w14:textId="5B6B5C07" w:rsidR="00090ADF" w:rsidRPr="00C80C0C" w:rsidRDefault="008C12CB" w:rsidP="00256A8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120 tis. </w:t>
      </w:r>
      <w:proofErr w:type="gramStart"/>
      <w:r w:rsidRPr="00437CFB">
        <w:rPr>
          <w:rFonts w:ascii="Times New Roman" w:hAnsi="Times New Roman" w:cs="Times New Roman"/>
          <w:i/>
          <w:iCs/>
          <w:sz w:val="24"/>
          <w:szCs w:val="24"/>
        </w:rPr>
        <w:t>Kč</w:t>
      </w:r>
      <w:r w:rsidR="00A77B61"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 - ve</w:t>
      </w:r>
      <w:proofErr w:type="gramEnd"/>
      <w:r w:rsidR="00A77B61"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 výši 80 tis. Kč značíme nepřímé výdaje ÚZ 17085, nástrojem 149 a zdrojem 5, ve výši 15 tis. Kč je značíme ÚZ 17084, nástrojem 149 a zdrojem 1, vlastní podíl na způsobilých výdajích 5 tis. Kč značíme nástrojem 149 a zdrojem 1, částka 20 tis. Kč (nad rámec nepřímých výdajů z rozhodnutí) jsou nezpůsobilé výdaje, které značíme jen org</w:t>
      </w:r>
      <w:r w:rsidR="00C80C0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A5D7DF" w14:textId="340C13FD" w:rsidR="00D465EC" w:rsidRDefault="00D465EC" w:rsidP="00256A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52BC8B" w14:textId="77777777" w:rsidR="000D0BD6" w:rsidRDefault="000D0BD6" w:rsidP="00256A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09A518" w14:textId="3582337F" w:rsidR="000D0BD6" w:rsidRPr="000D0BD6" w:rsidRDefault="000D0BD6" w:rsidP="00256A8C">
      <w:pPr>
        <w:rPr>
          <w:rFonts w:ascii="Times New Roman" w:hAnsi="Times New Roman" w:cs="Times New Roman"/>
          <w:sz w:val="24"/>
          <w:szCs w:val="24"/>
        </w:rPr>
      </w:pPr>
      <w:r w:rsidRPr="000D0BD6">
        <w:rPr>
          <w:rFonts w:ascii="Times New Roman" w:hAnsi="Times New Roman" w:cs="Times New Roman"/>
          <w:sz w:val="24"/>
          <w:szCs w:val="24"/>
        </w:rPr>
        <w:lastRenderedPageBreak/>
        <w:t>Postup dle příkladu 4 je platný pro situaci, kdy vznikne nárok na nepřímou dotaci v souladu s rozhodnutím. V praxi mohou být skutečné přímé výdaje odlišné od přímých výdajů určených v rozhodnutí, což má vliv na konečnou nárokovou výši nepřímé dotace.</w:t>
      </w:r>
      <w:r w:rsidR="00B531B0">
        <w:rPr>
          <w:rFonts w:ascii="Times New Roman" w:hAnsi="Times New Roman" w:cs="Times New Roman"/>
          <w:sz w:val="24"/>
          <w:szCs w:val="24"/>
        </w:rPr>
        <w:t xml:space="preserve"> Je nutné toto při značení reflektovat.</w:t>
      </w:r>
    </w:p>
    <w:p w14:paraId="651DC59F" w14:textId="77777777" w:rsidR="000D0BD6" w:rsidRDefault="000D0BD6" w:rsidP="00256A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1F4497" w14:textId="210F5ADE" w:rsidR="000D0BD6" w:rsidRDefault="000D0BD6" w:rsidP="00256A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5: </w:t>
      </w:r>
    </w:p>
    <w:p w14:paraId="2C20394D" w14:textId="77777777" w:rsidR="000D0BD6" w:rsidRPr="00437CFB" w:rsidRDefault="000D0BD6" w:rsidP="000D0BD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7CFB">
        <w:rPr>
          <w:rFonts w:ascii="Times New Roman" w:hAnsi="Times New Roman" w:cs="Times New Roman"/>
          <w:i/>
          <w:iCs/>
          <w:sz w:val="24"/>
          <w:szCs w:val="24"/>
        </w:rPr>
        <w:t>Dotace z IROP od MMR. Podíl EU 80 %, podíl SR 15 %, vlastní podíl 5 %.</w:t>
      </w:r>
    </w:p>
    <w:p w14:paraId="6B4309D3" w14:textId="1DB18344" w:rsidR="000D0BD6" w:rsidRDefault="000D0BD6" w:rsidP="000D0BD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Nepřímé výdaje dle rozhodnutí </w:t>
      </w:r>
      <w:r>
        <w:rPr>
          <w:rFonts w:ascii="Times New Roman" w:hAnsi="Times New Roman" w:cs="Times New Roman"/>
          <w:i/>
          <w:iCs/>
          <w:sz w:val="24"/>
          <w:szCs w:val="24"/>
        </w:rPr>
        <w:t>100</w:t>
      </w:r>
      <w:r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 tis. Kč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(7 % přímých výdajů)</w:t>
      </w:r>
      <w:r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, nepřímá dotace EU 80 tis. Kč, SR 15 tis. Kč, vlastní podíl 5 tis. Kč. </w:t>
      </w:r>
    </w:p>
    <w:p w14:paraId="34BFF410" w14:textId="4E09587F" w:rsidR="000D0BD6" w:rsidRDefault="000D0BD6" w:rsidP="000D0BD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Přímé výdaje dle rozhodnutí 1 428 500 Kč.</w:t>
      </w:r>
    </w:p>
    <w:p w14:paraId="04BD3A86" w14:textId="3696DAE0" w:rsidR="000D0BD6" w:rsidRPr="00437CFB" w:rsidRDefault="000D0BD6" w:rsidP="000D0BD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Konečné přímé výdaje 1 250 tis. Kč. Paušální nepřímé výdaje se tak upravují na částku 7 % z 1250 tis. Kč = 87500 Kč. Konečná nepřímá dotace bude ve výši 70 tis. Kč (podíl EU 80 % z částky 87500 Kč), 13125 Kč podíl SR, 4375 Kč vlastní podíl. </w:t>
      </w:r>
    </w:p>
    <w:p w14:paraId="78A88FC1" w14:textId="77777777" w:rsidR="00B531B0" w:rsidRPr="00437CFB" w:rsidRDefault="00B531B0" w:rsidP="00B531B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7CFB">
        <w:rPr>
          <w:rFonts w:ascii="Times New Roman" w:hAnsi="Times New Roman" w:cs="Times New Roman"/>
          <w:i/>
          <w:iCs/>
          <w:sz w:val="24"/>
          <w:szCs w:val="24"/>
        </w:rPr>
        <w:t>Skutečné nepřímé výdaje, varianty:</w:t>
      </w:r>
    </w:p>
    <w:p w14:paraId="759FC649" w14:textId="77777777" w:rsidR="00B531B0" w:rsidRPr="00437CFB" w:rsidRDefault="00B531B0" w:rsidP="00B531B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37CFB">
        <w:rPr>
          <w:rFonts w:ascii="Times New Roman" w:hAnsi="Times New Roman" w:cs="Times New Roman"/>
          <w:i/>
          <w:iCs/>
          <w:sz w:val="24"/>
          <w:szCs w:val="24"/>
        </w:rPr>
        <w:t>20 tis. Kč – všechny nepřímé výdaje až do celkové částky 20 tis. Kč značíme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dle MF</w:t>
      </w:r>
      <w:r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 ÚZ 17085, nástrojem 149 a zdrojem 5</w:t>
      </w:r>
    </w:p>
    <w:p w14:paraId="0D86E35F" w14:textId="77777777" w:rsidR="00B531B0" w:rsidRPr="00437CFB" w:rsidRDefault="00B531B0" w:rsidP="00B531B0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</w:p>
    <w:p w14:paraId="0ACD68F0" w14:textId="437996C7" w:rsidR="00B531B0" w:rsidRPr="000D0BD6" w:rsidRDefault="00766BAF" w:rsidP="00B531B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B531B0"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0 tis. Kč – ve výši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B531B0"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0 tis. Kč značíme nepřímé výdaje ÚZ 17085, nástrojem 149 a zdrojem 5, ve výši </w:t>
      </w:r>
      <w:r>
        <w:rPr>
          <w:rFonts w:ascii="Times New Roman" w:hAnsi="Times New Roman" w:cs="Times New Roman"/>
          <w:i/>
          <w:iCs/>
          <w:sz w:val="24"/>
          <w:szCs w:val="24"/>
        </w:rPr>
        <w:t>10 tis.</w:t>
      </w:r>
      <w:r w:rsidR="00B531B0"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 Kč je značíme ÚZ 17084, nástrojem 149 a zdrojem 1</w:t>
      </w:r>
    </w:p>
    <w:p w14:paraId="053F8639" w14:textId="77777777" w:rsidR="00B531B0" w:rsidRPr="00437CFB" w:rsidRDefault="00B531B0" w:rsidP="00B531B0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</w:p>
    <w:p w14:paraId="710CF3AC" w14:textId="228E24EE" w:rsidR="00B531B0" w:rsidRDefault="00B531B0" w:rsidP="00B531B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120 tis. </w:t>
      </w:r>
      <w:proofErr w:type="gramStart"/>
      <w:r w:rsidRPr="00437CFB">
        <w:rPr>
          <w:rFonts w:ascii="Times New Roman" w:hAnsi="Times New Roman" w:cs="Times New Roman"/>
          <w:i/>
          <w:iCs/>
          <w:sz w:val="24"/>
          <w:szCs w:val="24"/>
        </w:rPr>
        <w:t>Kč - ve</w:t>
      </w:r>
      <w:proofErr w:type="gramEnd"/>
      <w:r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 výši </w:t>
      </w:r>
      <w:r w:rsidR="00E7261A">
        <w:rPr>
          <w:rFonts w:ascii="Times New Roman" w:hAnsi="Times New Roman" w:cs="Times New Roman"/>
          <w:i/>
          <w:iCs/>
          <w:sz w:val="24"/>
          <w:szCs w:val="24"/>
        </w:rPr>
        <w:t>70</w:t>
      </w:r>
      <w:r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 tis. Kč značíme nepřímé výdaje ÚZ 17085, nástrojem 149 a zdrojem 5, ve výši </w:t>
      </w:r>
      <w:r w:rsidR="00E7261A">
        <w:rPr>
          <w:rFonts w:ascii="Times New Roman" w:hAnsi="Times New Roman" w:cs="Times New Roman"/>
          <w:i/>
          <w:iCs/>
          <w:sz w:val="24"/>
          <w:szCs w:val="24"/>
        </w:rPr>
        <w:t>13 125</w:t>
      </w:r>
      <w:r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 Kč je značíme ÚZ 17084, nástrojem 149 a zdrojem 1, vlastní podíl na způsobilých výdajích </w:t>
      </w:r>
      <w:r w:rsidR="00E7261A">
        <w:rPr>
          <w:rFonts w:ascii="Times New Roman" w:hAnsi="Times New Roman" w:cs="Times New Roman"/>
          <w:i/>
          <w:iCs/>
          <w:sz w:val="24"/>
          <w:szCs w:val="24"/>
        </w:rPr>
        <w:t>4375</w:t>
      </w:r>
      <w:r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 Kč značíme nástrojem 149 a zdrojem 1, částka </w:t>
      </w:r>
      <w:r w:rsidR="00E7261A">
        <w:rPr>
          <w:rFonts w:ascii="Times New Roman" w:hAnsi="Times New Roman" w:cs="Times New Roman"/>
          <w:i/>
          <w:iCs/>
          <w:sz w:val="24"/>
          <w:szCs w:val="24"/>
        </w:rPr>
        <w:t>32 500</w:t>
      </w:r>
      <w:r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 Kč (nad rámec</w:t>
      </w:r>
      <w:r w:rsidR="00E7261A">
        <w:rPr>
          <w:rFonts w:ascii="Times New Roman" w:hAnsi="Times New Roman" w:cs="Times New Roman"/>
          <w:i/>
          <w:iCs/>
          <w:sz w:val="24"/>
          <w:szCs w:val="24"/>
        </w:rPr>
        <w:t xml:space="preserve"> nárokových</w:t>
      </w:r>
      <w:r w:rsidRPr="00437CFB">
        <w:rPr>
          <w:rFonts w:ascii="Times New Roman" w:hAnsi="Times New Roman" w:cs="Times New Roman"/>
          <w:i/>
          <w:iCs/>
          <w:sz w:val="24"/>
          <w:szCs w:val="24"/>
        </w:rPr>
        <w:t xml:space="preserve"> nepřímých výdajů) jsou nezpůsobilé výdaje, které značíme jen org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483B59B" w14:textId="77777777" w:rsidR="00592BB2" w:rsidRPr="00592BB2" w:rsidRDefault="00592BB2" w:rsidP="00592BB2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</w:p>
    <w:p w14:paraId="5A9295A5" w14:textId="77777777" w:rsidR="00592BB2" w:rsidRPr="00C80C0C" w:rsidRDefault="00592BB2" w:rsidP="00592BB2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</w:p>
    <w:p w14:paraId="6D11C2FF" w14:textId="51C3C6DD" w:rsidR="000D0BD6" w:rsidRDefault="00592BB2" w:rsidP="00256A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Pozn. </w:t>
      </w:r>
      <w:r w:rsidRPr="00866FC3">
        <w:rPr>
          <w:rFonts w:ascii="Times New Roman" w:hAnsi="Times New Roman" w:cs="Times New Roman"/>
          <w:sz w:val="24"/>
          <w:szCs w:val="24"/>
        </w:rPr>
        <w:t>Rozdíl mezi značením v příkladech 4 a 5 vypadá na první pohled složitě, ale odráží jen základní pravidlo, kdy máme výdaje značit ve výši očekávané dotace v souladu s vysoutěženými konečnými částkami, nikoliv vždy automaticky z rozhodnutí. I u klasické dotace platí, že pokud jsou skutečné způsobilé výdaje nižší</w:t>
      </w:r>
      <w:r w:rsidR="001572A5">
        <w:rPr>
          <w:rFonts w:ascii="Times New Roman" w:hAnsi="Times New Roman" w:cs="Times New Roman"/>
          <w:sz w:val="24"/>
          <w:szCs w:val="24"/>
        </w:rPr>
        <w:t xml:space="preserve"> </w:t>
      </w:r>
      <w:r w:rsidRPr="00866FC3">
        <w:rPr>
          <w:rFonts w:ascii="Times New Roman" w:hAnsi="Times New Roman" w:cs="Times New Roman"/>
          <w:sz w:val="24"/>
          <w:szCs w:val="24"/>
        </w:rPr>
        <w:t>než způsobilé výdaje uvedené v rozhodnutí, snižuje se nárok na dotaci. V případě, že jsou stejné, nebo vyšší, je nárok</w:t>
      </w:r>
      <w:r w:rsidR="00866FC3">
        <w:rPr>
          <w:rFonts w:ascii="Times New Roman" w:hAnsi="Times New Roman" w:cs="Times New Roman"/>
          <w:sz w:val="24"/>
          <w:szCs w:val="24"/>
        </w:rPr>
        <w:t xml:space="preserve"> na dotaci</w:t>
      </w:r>
      <w:r w:rsidRPr="00866FC3">
        <w:rPr>
          <w:rFonts w:ascii="Times New Roman" w:hAnsi="Times New Roman" w:cs="Times New Roman"/>
          <w:sz w:val="24"/>
          <w:szCs w:val="24"/>
        </w:rPr>
        <w:t xml:space="preserve"> ve výši v rozhodnutí (pokud se splní všechny další podmínky).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0D0BD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129C2" w14:textId="77777777" w:rsidR="00BA0860" w:rsidRDefault="00BA0860" w:rsidP="00046268">
      <w:pPr>
        <w:spacing w:after="0" w:line="240" w:lineRule="auto"/>
      </w:pPr>
      <w:r>
        <w:separator/>
      </w:r>
    </w:p>
  </w:endnote>
  <w:endnote w:type="continuationSeparator" w:id="0">
    <w:p w14:paraId="53F7A003" w14:textId="77777777" w:rsidR="00BA0860" w:rsidRDefault="00BA0860" w:rsidP="0004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B3224" w14:textId="77777777" w:rsidR="00BA0860" w:rsidRDefault="00BA0860" w:rsidP="00046268">
      <w:pPr>
        <w:spacing w:after="0" w:line="240" w:lineRule="auto"/>
      </w:pPr>
      <w:r>
        <w:separator/>
      </w:r>
    </w:p>
  </w:footnote>
  <w:footnote w:type="continuationSeparator" w:id="0">
    <w:p w14:paraId="24A25903" w14:textId="77777777" w:rsidR="00BA0860" w:rsidRDefault="00BA0860" w:rsidP="0004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108191"/>
      <w:docPartObj>
        <w:docPartGallery w:val="Page Numbers (Top of Page)"/>
        <w:docPartUnique/>
      </w:docPartObj>
    </w:sdtPr>
    <w:sdtContent>
      <w:p w14:paraId="6099A79C" w14:textId="3CDCC158" w:rsidR="00046268" w:rsidRDefault="00046268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3B1D0A" w14:textId="77777777" w:rsidR="00046268" w:rsidRDefault="000462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24279"/>
    <w:multiLevelType w:val="hybridMultilevel"/>
    <w:tmpl w:val="7898C8BA"/>
    <w:lvl w:ilvl="0" w:tplc="F154D1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1DBF"/>
    <w:multiLevelType w:val="hybridMultilevel"/>
    <w:tmpl w:val="D80620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401AE"/>
    <w:multiLevelType w:val="hybridMultilevel"/>
    <w:tmpl w:val="8A36B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D39F2"/>
    <w:multiLevelType w:val="hybridMultilevel"/>
    <w:tmpl w:val="D80620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742AD"/>
    <w:multiLevelType w:val="hybridMultilevel"/>
    <w:tmpl w:val="430EE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9096D"/>
    <w:multiLevelType w:val="hybridMultilevel"/>
    <w:tmpl w:val="CDEEC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121E9"/>
    <w:multiLevelType w:val="hybridMultilevel"/>
    <w:tmpl w:val="47FAD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621C1"/>
    <w:multiLevelType w:val="hybridMultilevel"/>
    <w:tmpl w:val="1B084806"/>
    <w:lvl w:ilvl="0" w:tplc="2FE83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3E2031"/>
    <w:multiLevelType w:val="hybridMultilevel"/>
    <w:tmpl w:val="D8062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D0CEB"/>
    <w:multiLevelType w:val="hybridMultilevel"/>
    <w:tmpl w:val="3A1477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352067">
    <w:abstractNumId w:val="5"/>
  </w:num>
  <w:num w:numId="2" w16cid:durableId="1264993793">
    <w:abstractNumId w:val="2"/>
  </w:num>
  <w:num w:numId="3" w16cid:durableId="570387934">
    <w:abstractNumId w:val="6"/>
  </w:num>
  <w:num w:numId="4" w16cid:durableId="231427814">
    <w:abstractNumId w:val="4"/>
  </w:num>
  <w:num w:numId="5" w16cid:durableId="1232302770">
    <w:abstractNumId w:val="0"/>
  </w:num>
  <w:num w:numId="6" w16cid:durableId="1394113164">
    <w:abstractNumId w:val="9"/>
  </w:num>
  <w:num w:numId="7" w16cid:durableId="1018846474">
    <w:abstractNumId w:val="7"/>
  </w:num>
  <w:num w:numId="8" w16cid:durableId="1543327247">
    <w:abstractNumId w:val="8"/>
  </w:num>
  <w:num w:numId="9" w16cid:durableId="769473670">
    <w:abstractNumId w:val="3"/>
  </w:num>
  <w:num w:numId="10" w16cid:durableId="142202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46"/>
    <w:rsid w:val="00002874"/>
    <w:rsid w:val="00020C90"/>
    <w:rsid w:val="00026CB1"/>
    <w:rsid w:val="00034862"/>
    <w:rsid w:val="00046268"/>
    <w:rsid w:val="0007015E"/>
    <w:rsid w:val="00075E76"/>
    <w:rsid w:val="00080C19"/>
    <w:rsid w:val="00081DC7"/>
    <w:rsid w:val="00090ADF"/>
    <w:rsid w:val="00096BAB"/>
    <w:rsid w:val="000B250D"/>
    <w:rsid w:val="000B3BFB"/>
    <w:rsid w:val="000C47A4"/>
    <w:rsid w:val="000D0BD6"/>
    <w:rsid w:val="000D1E13"/>
    <w:rsid w:val="000D6F8A"/>
    <w:rsid w:val="000E5F72"/>
    <w:rsid w:val="000E627B"/>
    <w:rsid w:val="000E71EB"/>
    <w:rsid w:val="000E7EDA"/>
    <w:rsid w:val="000F65FA"/>
    <w:rsid w:val="00104686"/>
    <w:rsid w:val="00113078"/>
    <w:rsid w:val="00133DBF"/>
    <w:rsid w:val="00135142"/>
    <w:rsid w:val="00147372"/>
    <w:rsid w:val="0015304A"/>
    <w:rsid w:val="001572A5"/>
    <w:rsid w:val="001632EC"/>
    <w:rsid w:val="00172AC3"/>
    <w:rsid w:val="0017769B"/>
    <w:rsid w:val="001A108F"/>
    <w:rsid w:val="001A6052"/>
    <w:rsid w:val="001B2641"/>
    <w:rsid w:val="001B640C"/>
    <w:rsid w:val="001C08A1"/>
    <w:rsid w:val="001C57CD"/>
    <w:rsid w:val="001D3DE9"/>
    <w:rsid w:val="001D4FD4"/>
    <w:rsid w:val="001E47C9"/>
    <w:rsid w:val="001E5899"/>
    <w:rsid w:val="001F5040"/>
    <w:rsid w:val="00211619"/>
    <w:rsid w:val="00221B25"/>
    <w:rsid w:val="002406E7"/>
    <w:rsid w:val="0024080C"/>
    <w:rsid w:val="00252A0C"/>
    <w:rsid w:val="00256929"/>
    <w:rsid w:val="00256A8C"/>
    <w:rsid w:val="00272337"/>
    <w:rsid w:val="002829EE"/>
    <w:rsid w:val="0028533D"/>
    <w:rsid w:val="002D290A"/>
    <w:rsid w:val="002D3777"/>
    <w:rsid w:val="00307446"/>
    <w:rsid w:val="0031584F"/>
    <w:rsid w:val="00330596"/>
    <w:rsid w:val="00343087"/>
    <w:rsid w:val="0036435B"/>
    <w:rsid w:val="003675BA"/>
    <w:rsid w:val="003750B5"/>
    <w:rsid w:val="003835BB"/>
    <w:rsid w:val="003B0F32"/>
    <w:rsid w:val="003B5756"/>
    <w:rsid w:val="003C0280"/>
    <w:rsid w:val="003C3980"/>
    <w:rsid w:val="003C5B24"/>
    <w:rsid w:val="003E02DC"/>
    <w:rsid w:val="003E0C42"/>
    <w:rsid w:val="003E1B02"/>
    <w:rsid w:val="003E37C0"/>
    <w:rsid w:val="003F06AD"/>
    <w:rsid w:val="003F2D62"/>
    <w:rsid w:val="003F4AFC"/>
    <w:rsid w:val="003F5F53"/>
    <w:rsid w:val="003F6AC6"/>
    <w:rsid w:val="00403E09"/>
    <w:rsid w:val="00412E75"/>
    <w:rsid w:val="004156FB"/>
    <w:rsid w:val="00422842"/>
    <w:rsid w:val="00422AF9"/>
    <w:rsid w:val="00432F37"/>
    <w:rsid w:val="0043628E"/>
    <w:rsid w:val="00437CFB"/>
    <w:rsid w:val="00452976"/>
    <w:rsid w:val="00454C78"/>
    <w:rsid w:val="00464A14"/>
    <w:rsid w:val="004717C1"/>
    <w:rsid w:val="00472D49"/>
    <w:rsid w:val="004852C5"/>
    <w:rsid w:val="00490CE4"/>
    <w:rsid w:val="00494979"/>
    <w:rsid w:val="004B2E18"/>
    <w:rsid w:val="004B5FA5"/>
    <w:rsid w:val="004C5DE2"/>
    <w:rsid w:val="004C69A9"/>
    <w:rsid w:val="004D5A97"/>
    <w:rsid w:val="004D6D72"/>
    <w:rsid w:val="004E3A62"/>
    <w:rsid w:val="004E6792"/>
    <w:rsid w:val="004F14C9"/>
    <w:rsid w:val="004F46B8"/>
    <w:rsid w:val="00500E81"/>
    <w:rsid w:val="00512CB0"/>
    <w:rsid w:val="0054276F"/>
    <w:rsid w:val="00543F06"/>
    <w:rsid w:val="00563B93"/>
    <w:rsid w:val="0056404C"/>
    <w:rsid w:val="00565AE7"/>
    <w:rsid w:val="00573F91"/>
    <w:rsid w:val="00584B82"/>
    <w:rsid w:val="005867ED"/>
    <w:rsid w:val="00592BB2"/>
    <w:rsid w:val="0059406C"/>
    <w:rsid w:val="005C1D9B"/>
    <w:rsid w:val="005D1066"/>
    <w:rsid w:val="005E1D3E"/>
    <w:rsid w:val="005E7C88"/>
    <w:rsid w:val="005F5FEC"/>
    <w:rsid w:val="00604B14"/>
    <w:rsid w:val="00607252"/>
    <w:rsid w:val="00614F11"/>
    <w:rsid w:val="0061538A"/>
    <w:rsid w:val="00617876"/>
    <w:rsid w:val="00620541"/>
    <w:rsid w:val="0062327F"/>
    <w:rsid w:val="00632C62"/>
    <w:rsid w:val="00632E5F"/>
    <w:rsid w:val="00635678"/>
    <w:rsid w:val="0064062D"/>
    <w:rsid w:val="0067032F"/>
    <w:rsid w:val="006779AF"/>
    <w:rsid w:val="006838A5"/>
    <w:rsid w:val="00693776"/>
    <w:rsid w:val="00693A49"/>
    <w:rsid w:val="006A730C"/>
    <w:rsid w:val="006B0FEC"/>
    <w:rsid w:val="006B7FA6"/>
    <w:rsid w:val="006C0B8A"/>
    <w:rsid w:val="007118EA"/>
    <w:rsid w:val="00714B43"/>
    <w:rsid w:val="0072522B"/>
    <w:rsid w:val="00731B6B"/>
    <w:rsid w:val="00735651"/>
    <w:rsid w:val="007443BD"/>
    <w:rsid w:val="007550F6"/>
    <w:rsid w:val="007604FA"/>
    <w:rsid w:val="00766BAF"/>
    <w:rsid w:val="007859E6"/>
    <w:rsid w:val="00792872"/>
    <w:rsid w:val="007933AE"/>
    <w:rsid w:val="007A035A"/>
    <w:rsid w:val="007A05C8"/>
    <w:rsid w:val="007A35B6"/>
    <w:rsid w:val="007B1E2F"/>
    <w:rsid w:val="007E1028"/>
    <w:rsid w:val="007E306A"/>
    <w:rsid w:val="007E5011"/>
    <w:rsid w:val="007E72EB"/>
    <w:rsid w:val="00810C6F"/>
    <w:rsid w:val="00813BDB"/>
    <w:rsid w:val="00814E02"/>
    <w:rsid w:val="0081756D"/>
    <w:rsid w:val="00824AE3"/>
    <w:rsid w:val="00825A75"/>
    <w:rsid w:val="008335DB"/>
    <w:rsid w:val="0083503A"/>
    <w:rsid w:val="00866FC3"/>
    <w:rsid w:val="008916DD"/>
    <w:rsid w:val="008945C6"/>
    <w:rsid w:val="008A1B59"/>
    <w:rsid w:val="008A3F68"/>
    <w:rsid w:val="008B4AE9"/>
    <w:rsid w:val="008B72B7"/>
    <w:rsid w:val="008B73DB"/>
    <w:rsid w:val="008C12CB"/>
    <w:rsid w:val="008C6D46"/>
    <w:rsid w:val="008E1746"/>
    <w:rsid w:val="008F2D4A"/>
    <w:rsid w:val="00902FEE"/>
    <w:rsid w:val="0090302B"/>
    <w:rsid w:val="009032BF"/>
    <w:rsid w:val="009177ED"/>
    <w:rsid w:val="00922749"/>
    <w:rsid w:val="00925672"/>
    <w:rsid w:val="00941401"/>
    <w:rsid w:val="00946A16"/>
    <w:rsid w:val="00954A34"/>
    <w:rsid w:val="00954E74"/>
    <w:rsid w:val="00971890"/>
    <w:rsid w:val="00980934"/>
    <w:rsid w:val="00992EF9"/>
    <w:rsid w:val="00995C38"/>
    <w:rsid w:val="009A2D42"/>
    <w:rsid w:val="009B2834"/>
    <w:rsid w:val="009C3C19"/>
    <w:rsid w:val="009E4D65"/>
    <w:rsid w:val="009F4620"/>
    <w:rsid w:val="009F5BF7"/>
    <w:rsid w:val="009F732E"/>
    <w:rsid w:val="009F7503"/>
    <w:rsid w:val="00A1077F"/>
    <w:rsid w:val="00A24688"/>
    <w:rsid w:val="00A25594"/>
    <w:rsid w:val="00A45F1B"/>
    <w:rsid w:val="00A55723"/>
    <w:rsid w:val="00A77B61"/>
    <w:rsid w:val="00A82FBF"/>
    <w:rsid w:val="00A95950"/>
    <w:rsid w:val="00AA0ACE"/>
    <w:rsid w:val="00AA0B5C"/>
    <w:rsid w:val="00AA5411"/>
    <w:rsid w:val="00AA5C7F"/>
    <w:rsid w:val="00AA790C"/>
    <w:rsid w:val="00AC144D"/>
    <w:rsid w:val="00AC443C"/>
    <w:rsid w:val="00AD310F"/>
    <w:rsid w:val="00AD74A2"/>
    <w:rsid w:val="00AF1998"/>
    <w:rsid w:val="00B0445C"/>
    <w:rsid w:val="00B1551B"/>
    <w:rsid w:val="00B531B0"/>
    <w:rsid w:val="00B66D62"/>
    <w:rsid w:val="00B671C8"/>
    <w:rsid w:val="00B70F0E"/>
    <w:rsid w:val="00B76A64"/>
    <w:rsid w:val="00B8508C"/>
    <w:rsid w:val="00B871F8"/>
    <w:rsid w:val="00B92BBC"/>
    <w:rsid w:val="00BA0860"/>
    <w:rsid w:val="00BA1B61"/>
    <w:rsid w:val="00BA7B10"/>
    <w:rsid w:val="00BC267C"/>
    <w:rsid w:val="00BE6A50"/>
    <w:rsid w:val="00C413F2"/>
    <w:rsid w:val="00C41BDA"/>
    <w:rsid w:val="00C53B5F"/>
    <w:rsid w:val="00C61E8E"/>
    <w:rsid w:val="00C71295"/>
    <w:rsid w:val="00C74176"/>
    <w:rsid w:val="00C77C77"/>
    <w:rsid w:val="00C80C0C"/>
    <w:rsid w:val="00C8536D"/>
    <w:rsid w:val="00C90594"/>
    <w:rsid w:val="00C94AA3"/>
    <w:rsid w:val="00CA3305"/>
    <w:rsid w:val="00CB68D2"/>
    <w:rsid w:val="00CD0A66"/>
    <w:rsid w:val="00CE1C78"/>
    <w:rsid w:val="00D11501"/>
    <w:rsid w:val="00D26AEA"/>
    <w:rsid w:val="00D30667"/>
    <w:rsid w:val="00D32F83"/>
    <w:rsid w:val="00D356CE"/>
    <w:rsid w:val="00D369AA"/>
    <w:rsid w:val="00D413FE"/>
    <w:rsid w:val="00D45F47"/>
    <w:rsid w:val="00D465EC"/>
    <w:rsid w:val="00D52097"/>
    <w:rsid w:val="00D61D28"/>
    <w:rsid w:val="00D630F5"/>
    <w:rsid w:val="00D702B3"/>
    <w:rsid w:val="00D80529"/>
    <w:rsid w:val="00D8171A"/>
    <w:rsid w:val="00D94FC6"/>
    <w:rsid w:val="00DD113A"/>
    <w:rsid w:val="00DD1495"/>
    <w:rsid w:val="00DE7458"/>
    <w:rsid w:val="00DF1148"/>
    <w:rsid w:val="00DF3178"/>
    <w:rsid w:val="00DF3394"/>
    <w:rsid w:val="00E03FCB"/>
    <w:rsid w:val="00E05AB8"/>
    <w:rsid w:val="00E1787B"/>
    <w:rsid w:val="00E21E1E"/>
    <w:rsid w:val="00E516A8"/>
    <w:rsid w:val="00E7261A"/>
    <w:rsid w:val="00E7482E"/>
    <w:rsid w:val="00E83F4E"/>
    <w:rsid w:val="00E85086"/>
    <w:rsid w:val="00E85BAC"/>
    <w:rsid w:val="00E87714"/>
    <w:rsid w:val="00E904D0"/>
    <w:rsid w:val="00EB3340"/>
    <w:rsid w:val="00EC1E4A"/>
    <w:rsid w:val="00EC33DC"/>
    <w:rsid w:val="00EC3A83"/>
    <w:rsid w:val="00EF01CA"/>
    <w:rsid w:val="00F05621"/>
    <w:rsid w:val="00F06923"/>
    <w:rsid w:val="00F24C3C"/>
    <w:rsid w:val="00F256E1"/>
    <w:rsid w:val="00F32EB7"/>
    <w:rsid w:val="00F34C88"/>
    <w:rsid w:val="00F35D10"/>
    <w:rsid w:val="00F456D5"/>
    <w:rsid w:val="00F508E3"/>
    <w:rsid w:val="00F82C40"/>
    <w:rsid w:val="00F85713"/>
    <w:rsid w:val="00F969B4"/>
    <w:rsid w:val="00FB166D"/>
    <w:rsid w:val="00FD6B9E"/>
    <w:rsid w:val="00FD7644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2107"/>
  <w15:chartTrackingRefBased/>
  <w15:docId w15:val="{D2DF0057-62AD-49B9-B388-7177A6F6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E09"/>
  </w:style>
  <w:style w:type="paragraph" w:styleId="Nadpis1">
    <w:name w:val="heading 1"/>
    <w:basedOn w:val="Normln"/>
    <w:next w:val="Normln"/>
    <w:link w:val="Nadpis1Char"/>
    <w:uiPriority w:val="9"/>
    <w:qFormat/>
    <w:rsid w:val="008E1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1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17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1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17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1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1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1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1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17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17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17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174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174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17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17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17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17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1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1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1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1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1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17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17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174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17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174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1746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4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268"/>
  </w:style>
  <w:style w:type="paragraph" w:styleId="Zpat">
    <w:name w:val="footer"/>
    <w:basedOn w:val="Normln"/>
    <w:link w:val="ZpatChar"/>
    <w:uiPriority w:val="99"/>
    <w:unhideWhenUsed/>
    <w:rsid w:val="0004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268"/>
  </w:style>
  <w:style w:type="character" w:styleId="Hypertextovodkaz">
    <w:name w:val="Hyperlink"/>
    <w:basedOn w:val="Standardnpsmoodstavce"/>
    <w:uiPriority w:val="99"/>
    <w:unhideWhenUsed/>
    <w:rsid w:val="00403E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3E0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63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32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2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3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2E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70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getmedia/f27e03b7-f6d2-4f24-96af-4ab04dd0b002/IROP_Aplikace-pausalni-sazby-na-neprime-naklady_Kategorie-neprimych-nakladu.pdf.aspx?ext=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fcr.cz/cs/rozpoctova-politika/uzemni-rozpocty/legislativa-a-metodicka-podpora-uzemnich-rozpoctu/2024/rozpoctove-zatrideni-dotaci-poskytovanych-na-uhrad-56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cr.cz/cs/rozpoctova-politika/uzemni-rozpocty/legislativa-a-metodicka-podpora-uzemnich-rozpoctu/2023/prezentace-z-pracovniho-setkani-se-zastupci-kraju-5214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A450A-D2D1-42C4-AC3F-E2C92CD8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1618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Schneiderová</dc:creator>
  <cp:keywords/>
  <dc:description/>
  <cp:lastModifiedBy>Ivana Schneiderová</cp:lastModifiedBy>
  <cp:revision>2</cp:revision>
  <cp:lastPrinted>2025-02-02T12:50:00Z</cp:lastPrinted>
  <dcterms:created xsi:type="dcterms:W3CDTF">2025-07-05T16:42:00Z</dcterms:created>
  <dcterms:modified xsi:type="dcterms:W3CDTF">2025-07-05T16:42:00Z</dcterms:modified>
</cp:coreProperties>
</file>