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2ED4E" w14:textId="6036C815" w:rsidR="00DA244B" w:rsidRDefault="00232EA0" w:rsidP="00821ED2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Převod </w:t>
      </w:r>
      <w:r w:rsidR="004E43B8">
        <w:rPr>
          <w:b/>
          <w:bCs/>
          <w:sz w:val="40"/>
          <w:szCs w:val="40"/>
          <w:u w:val="single"/>
        </w:rPr>
        <w:t>majetku (nemovitostí)</w:t>
      </w:r>
      <w:r>
        <w:rPr>
          <w:b/>
          <w:bCs/>
          <w:sz w:val="40"/>
          <w:szCs w:val="40"/>
          <w:u w:val="single"/>
        </w:rPr>
        <w:t xml:space="preserve"> jako nedílná součást obvyklé ekonomické činnosti</w:t>
      </w:r>
    </w:p>
    <w:p w14:paraId="30A6C1EB" w14:textId="1C577207" w:rsidR="00F157FA" w:rsidRPr="00F157FA" w:rsidRDefault="00F157FA" w:rsidP="00821ED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Vysvětlující video k materiálům zveřejněným 16. 4. 2019</w:t>
      </w:r>
    </w:p>
    <w:p w14:paraId="1916A24A" w14:textId="58360F84" w:rsidR="00232EA0" w:rsidRDefault="00232EA0" w:rsidP="00232EA0">
      <w:pPr>
        <w:jc w:val="both"/>
        <w:rPr>
          <w:b/>
          <w:bCs/>
          <w:sz w:val="24"/>
          <w:szCs w:val="24"/>
          <w:u w:val="single"/>
        </w:rPr>
      </w:pPr>
    </w:p>
    <w:p w14:paraId="2CFE0ECD" w14:textId="1A7052EA" w:rsidR="00232EA0" w:rsidRPr="00232EA0" w:rsidRDefault="00232EA0" w:rsidP="00232EA0">
      <w:pPr>
        <w:pStyle w:val="Odstavecseseznamem"/>
        <w:numPr>
          <w:ilvl w:val="0"/>
          <w:numId w:val="10"/>
        </w:numPr>
        <w:jc w:val="both"/>
        <w:rPr>
          <w:b/>
          <w:bCs/>
          <w:sz w:val="32"/>
          <w:szCs w:val="32"/>
          <w:u w:val="single"/>
        </w:rPr>
      </w:pPr>
      <w:r w:rsidRPr="00232EA0">
        <w:rPr>
          <w:b/>
          <w:bCs/>
          <w:sz w:val="32"/>
          <w:szCs w:val="32"/>
          <w:u w:val="single"/>
        </w:rPr>
        <w:t>Stanovení obratu rozhodného pro plátcovství DPH</w:t>
      </w:r>
      <w:r>
        <w:rPr>
          <w:b/>
          <w:bCs/>
          <w:sz w:val="32"/>
          <w:szCs w:val="32"/>
          <w:u w:val="single"/>
        </w:rPr>
        <w:t xml:space="preserve"> (neplátci)</w:t>
      </w:r>
    </w:p>
    <w:p w14:paraId="2D8B7298" w14:textId="6B0B111D" w:rsidR="00232EA0" w:rsidRDefault="00232EA0" w:rsidP="00232EA0">
      <w:pPr>
        <w:pStyle w:val="Odstavecseseznamem"/>
        <w:jc w:val="both"/>
        <w:rPr>
          <w:b/>
          <w:bCs/>
          <w:sz w:val="24"/>
          <w:szCs w:val="24"/>
          <w:u w:val="single"/>
        </w:rPr>
      </w:pPr>
    </w:p>
    <w:p w14:paraId="229C7F85" w14:textId="2EDD1BD6" w:rsidR="00232EA0" w:rsidRPr="00232EA0" w:rsidRDefault="00232EA0" w:rsidP="00232EA0">
      <w:pPr>
        <w:pStyle w:val="Odstavecseseznamem"/>
        <w:jc w:val="both"/>
        <w:rPr>
          <w:b/>
          <w:bCs/>
          <w:sz w:val="24"/>
          <w:szCs w:val="24"/>
        </w:rPr>
      </w:pPr>
      <w:r w:rsidRPr="00232EA0">
        <w:rPr>
          <w:b/>
          <w:bCs/>
          <w:sz w:val="24"/>
          <w:szCs w:val="24"/>
        </w:rPr>
        <w:t>§4a odst. 2 ve znění účinném od 1. 4. 2019</w:t>
      </w:r>
    </w:p>
    <w:p w14:paraId="7DC39194" w14:textId="5F5BB932" w:rsidR="00232EA0" w:rsidRPr="00232EA0" w:rsidRDefault="00232EA0" w:rsidP="00232EA0">
      <w:pPr>
        <w:shd w:val="clear" w:color="auto" w:fill="E7E6E6" w:themeFill="background2"/>
        <w:ind w:left="709"/>
        <w:rPr>
          <w:rFonts w:ascii="Arial" w:hAnsi="Arial" w:cs="Arial"/>
          <w:sz w:val="20"/>
          <w:szCs w:val="20"/>
        </w:rPr>
      </w:pPr>
      <w:r w:rsidRPr="00232EA0">
        <w:rPr>
          <w:rFonts w:ascii="Arial" w:hAnsi="Arial" w:cs="Arial"/>
          <w:sz w:val="20"/>
          <w:szCs w:val="20"/>
        </w:rPr>
        <w:t xml:space="preserve">Do obratu se nezahrnuje úplata za dodání nebo poskytnutí dlouhodobého majetku, </w:t>
      </w:r>
      <w:r w:rsidRPr="002C7691">
        <w:rPr>
          <w:rFonts w:ascii="Arial" w:hAnsi="Arial" w:cs="Arial"/>
          <w:sz w:val="20"/>
          <w:szCs w:val="20"/>
          <w:u w:val="single"/>
        </w:rPr>
        <w:t>není-li toto uskutečněné plnění nedílnou součástí obvyklé ekonomické činnosti osoby povinné k dani</w:t>
      </w:r>
      <w:r w:rsidRPr="00232EA0">
        <w:rPr>
          <w:rFonts w:ascii="Arial" w:hAnsi="Arial" w:cs="Arial"/>
          <w:sz w:val="20"/>
          <w:szCs w:val="20"/>
        </w:rPr>
        <w:t xml:space="preserve">. </w:t>
      </w:r>
    </w:p>
    <w:p w14:paraId="73819CE8" w14:textId="77777777" w:rsidR="00232EA0" w:rsidRDefault="00232EA0" w:rsidP="00232EA0">
      <w:pPr>
        <w:pStyle w:val="Odstavecseseznamem"/>
        <w:jc w:val="both"/>
        <w:rPr>
          <w:b/>
          <w:bCs/>
          <w:sz w:val="24"/>
          <w:szCs w:val="24"/>
          <w:u w:val="single"/>
        </w:rPr>
      </w:pPr>
    </w:p>
    <w:p w14:paraId="02865550" w14:textId="76839309" w:rsidR="00232EA0" w:rsidRDefault="00232EA0" w:rsidP="00232EA0">
      <w:pPr>
        <w:pStyle w:val="Odstavecseseznamem"/>
        <w:jc w:val="both"/>
        <w:rPr>
          <w:b/>
          <w:bCs/>
          <w:sz w:val="24"/>
          <w:szCs w:val="24"/>
          <w:u w:val="single"/>
        </w:rPr>
      </w:pPr>
    </w:p>
    <w:p w14:paraId="30ACAA39" w14:textId="77777777" w:rsidR="00232EA0" w:rsidRDefault="00232EA0" w:rsidP="00232EA0">
      <w:pPr>
        <w:pStyle w:val="Odstavecseseznamem"/>
        <w:jc w:val="both"/>
        <w:rPr>
          <w:b/>
          <w:bCs/>
          <w:sz w:val="24"/>
          <w:szCs w:val="24"/>
          <w:u w:val="single"/>
        </w:rPr>
      </w:pPr>
    </w:p>
    <w:p w14:paraId="53CC1BDB" w14:textId="4225F902" w:rsidR="00232EA0" w:rsidRDefault="00232EA0" w:rsidP="00232EA0">
      <w:pPr>
        <w:pStyle w:val="Odstavecseseznamem"/>
        <w:numPr>
          <w:ilvl w:val="0"/>
          <w:numId w:val="10"/>
        </w:numPr>
        <w:jc w:val="both"/>
        <w:rPr>
          <w:b/>
          <w:bCs/>
          <w:sz w:val="32"/>
          <w:szCs w:val="32"/>
          <w:u w:val="single"/>
        </w:rPr>
      </w:pPr>
      <w:r w:rsidRPr="00232EA0">
        <w:rPr>
          <w:b/>
          <w:bCs/>
          <w:sz w:val="32"/>
          <w:szCs w:val="32"/>
          <w:u w:val="single"/>
        </w:rPr>
        <w:t>Vyplňování ř. 51 ve vztahu k převodu nemovitostí (plátci)</w:t>
      </w:r>
    </w:p>
    <w:p w14:paraId="4F1B9D8A" w14:textId="77777777" w:rsidR="002C7691" w:rsidRDefault="002C7691" w:rsidP="00232EA0">
      <w:pPr>
        <w:pStyle w:val="Odstavecseseznamem"/>
        <w:jc w:val="both"/>
        <w:rPr>
          <w:b/>
          <w:bCs/>
          <w:sz w:val="24"/>
          <w:szCs w:val="24"/>
        </w:rPr>
      </w:pPr>
    </w:p>
    <w:p w14:paraId="45CE9B58" w14:textId="5E355E67" w:rsidR="00232EA0" w:rsidRDefault="002C7691" w:rsidP="00232EA0">
      <w:pPr>
        <w:pStyle w:val="Odstavecseseznamem"/>
        <w:jc w:val="both"/>
        <w:rPr>
          <w:b/>
          <w:bCs/>
          <w:sz w:val="24"/>
          <w:szCs w:val="24"/>
        </w:rPr>
      </w:pPr>
      <w:r w:rsidRPr="002C7691">
        <w:rPr>
          <w:b/>
          <w:bCs/>
          <w:sz w:val="24"/>
          <w:szCs w:val="24"/>
        </w:rPr>
        <w:t xml:space="preserve">§ 76 odst. 4 písm. </w:t>
      </w:r>
      <w:r>
        <w:rPr>
          <w:b/>
          <w:bCs/>
          <w:sz w:val="24"/>
          <w:szCs w:val="24"/>
        </w:rPr>
        <w:t>a</w:t>
      </w:r>
      <w:r w:rsidRPr="002C7691">
        <w:rPr>
          <w:b/>
          <w:bCs/>
          <w:sz w:val="24"/>
          <w:szCs w:val="24"/>
        </w:rPr>
        <w:t>) ve znění účinném od 1. 4. 2019</w:t>
      </w:r>
    </w:p>
    <w:p w14:paraId="1C2918A5" w14:textId="6FA33320" w:rsidR="002C7691" w:rsidRPr="002C7691" w:rsidRDefault="002C7691" w:rsidP="002C7691">
      <w:pPr>
        <w:shd w:val="clear" w:color="auto" w:fill="E7E6E6" w:themeFill="background2"/>
        <w:ind w:left="709"/>
        <w:jc w:val="both"/>
        <w:rPr>
          <w:rFonts w:ascii="Arial" w:hAnsi="Arial" w:cs="Arial"/>
          <w:sz w:val="20"/>
          <w:szCs w:val="20"/>
        </w:rPr>
      </w:pPr>
      <w:r w:rsidRPr="002C7691">
        <w:rPr>
          <w:rFonts w:ascii="Arial" w:hAnsi="Arial" w:cs="Arial"/>
          <w:sz w:val="20"/>
          <w:szCs w:val="20"/>
        </w:rPr>
        <w:t xml:space="preserve">(4) Do výpočtu koeficientu se nezapočítávají </w:t>
      </w:r>
    </w:p>
    <w:p w14:paraId="62ED53E0" w14:textId="2899BBFA" w:rsidR="002C7691" w:rsidRDefault="002C7691" w:rsidP="002C7691">
      <w:pPr>
        <w:shd w:val="clear" w:color="auto" w:fill="E7E6E6" w:themeFill="background2"/>
        <w:ind w:left="1276" w:hanging="283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a)</w:t>
      </w:r>
      <w:r w:rsidRPr="002C7691">
        <w:rPr>
          <w:rFonts w:ascii="Arial" w:hAnsi="Arial" w:cs="Arial"/>
          <w:sz w:val="20"/>
          <w:szCs w:val="20"/>
        </w:rPr>
        <w:t xml:space="preserve"> </w:t>
      </w:r>
      <w:r w:rsidRPr="002C7691">
        <w:rPr>
          <w:rFonts w:ascii="Arial" w:hAnsi="Arial" w:cs="Arial"/>
          <w:sz w:val="20"/>
          <w:szCs w:val="20"/>
        </w:rPr>
        <w:t xml:space="preserve">dodání nebo poskytnutí dlouhodobého majetku, pokud tento majetek plátce využíval pro svou ekonomickou činnost; </w:t>
      </w:r>
      <w:r w:rsidRPr="002C7691">
        <w:rPr>
          <w:rFonts w:ascii="Arial" w:hAnsi="Arial" w:cs="Arial"/>
          <w:sz w:val="20"/>
          <w:szCs w:val="20"/>
          <w:u w:val="single"/>
        </w:rPr>
        <w:t xml:space="preserve">to neplatí, je-li toto uskutečněné plnění nedílnou součástí obvyklé ekonomické činnosti plátce, </w:t>
      </w:r>
    </w:p>
    <w:p w14:paraId="2CCD2AFB" w14:textId="65F009EF" w:rsidR="002C7691" w:rsidRDefault="002C7691" w:rsidP="002C7691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4BA14D4" w14:textId="5E161B68" w:rsidR="002C7691" w:rsidRDefault="002C7691" w:rsidP="002C7691">
      <w:pPr>
        <w:jc w:val="both"/>
        <w:rPr>
          <w:rFonts w:ascii="Times New Roman" w:hAnsi="Times New Roman" w:cs="Times New Roman"/>
          <w:sz w:val="24"/>
          <w:szCs w:val="24"/>
        </w:rPr>
      </w:pPr>
      <w:r w:rsidRPr="002C7691">
        <w:rPr>
          <w:rFonts w:ascii="Times New Roman" w:hAnsi="Times New Roman" w:cs="Times New Roman"/>
          <w:sz w:val="24"/>
          <w:szCs w:val="24"/>
        </w:rPr>
        <w:t xml:space="preserve">Zákon ani důvodová zpráva </w:t>
      </w:r>
      <w:r w:rsidRPr="007D3130">
        <w:rPr>
          <w:rFonts w:ascii="Times New Roman" w:hAnsi="Times New Roman" w:cs="Times New Roman"/>
          <w:sz w:val="24"/>
          <w:szCs w:val="24"/>
          <w:u w:val="single"/>
        </w:rPr>
        <w:t>neobsahuje řádné vysvětlení k to</w:t>
      </w:r>
      <w:r>
        <w:rPr>
          <w:rFonts w:ascii="Times New Roman" w:hAnsi="Times New Roman" w:cs="Times New Roman"/>
          <w:sz w:val="24"/>
          <w:szCs w:val="24"/>
        </w:rPr>
        <w:t>mu, co je „nedílnou součástí ekonomické činnosti“.</w:t>
      </w:r>
    </w:p>
    <w:p w14:paraId="112640B9" w14:textId="038DA7D1" w:rsidR="002C7691" w:rsidRDefault="002C7691" w:rsidP="002C76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6BAFA6" w14:textId="0A0C7E54" w:rsidR="002C7691" w:rsidRDefault="002C7691" w:rsidP="002C76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toho důvodu:</w:t>
      </w:r>
    </w:p>
    <w:p w14:paraId="5AC93664" w14:textId="3E73D808" w:rsidR="002C7691" w:rsidRDefault="002C7691" w:rsidP="002C7691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Podán dotaz SMO – připravili jsme tabulku s rozdělením činností a návrhem </w:t>
      </w:r>
      <w:proofErr w:type="spellStart"/>
      <w:r>
        <w:rPr>
          <w:rFonts w:ascii="Times New Roman" w:hAnsi="Times New Roman" w:cs="Times New Roman"/>
          <w:sz w:val="24"/>
          <w:szCs w:val="24"/>
        </w:rPr>
        <w:t>zaklasifikace</w:t>
      </w:r>
      <w:proofErr w:type="spellEnd"/>
      <w:r w:rsidR="007D3130">
        <w:rPr>
          <w:rFonts w:ascii="Times New Roman" w:hAnsi="Times New Roman" w:cs="Times New Roman"/>
          <w:sz w:val="24"/>
          <w:szCs w:val="24"/>
        </w:rPr>
        <w:t xml:space="preserve"> (+ je zde vysvětlení k této problematice)</w:t>
      </w:r>
    </w:p>
    <w:p w14:paraId="072CC41B" w14:textId="77777777" w:rsidR="002C7691" w:rsidRDefault="002C7691" w:rsidP="002C769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5A0669D" w14:textId="67E0DADC" w:rsidR="002C7691" w:rsidRDefault="002C7691" w:rsidP="002C7691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Odpověď za MF i GFŘ – náměstek ministra – </w:t>
      </w:r>
      <w:proofErr w:type="gramStart"/>
      <w:r>
        <w:rPr>
          <w:rFonts w:ascii="Times New Roman" w:hAnsi="Times New Roman" w:cs="Times New Roman"/>
          <w:sz w:val="24"/>
          <w:szCs w:val="24"/>
        </w:rPr>
        <w:t>ing.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Koub</w:t>
      </w:r>
      <w:r w:rsidR="008821E4">
        <w:rPr>
          <w:rFonts w:ascii="Times New Roman" w:hAnsi="Times New Roman" w:cs="Times New Roman"/>
          <w:sz w:val="24"/>
          <w:szCs w:val="24"/>
        </w:rPr>
        <w:t xml:space="preserve">y – str. 4 dokumentu – 3. odstavec – souhlas s naší klasifikací – respektive klasifikací sloupce C </w:t>
      </w:r>
    </w:p>
    <w:p w14:paraId="7FE1AF88" w14:textId="3BA032DD" w:rsidR="008821E4" w:rsidRPr="008821E4" w:rsidRDefault="008821E4" w:rsidP="008821E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rozdělení do sloupců 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 se odmítl vyjádřit (nicméně to není předmětem řešení „součástí obvyklé činnosti) </w:t>
      </w:r>
    </w:p>
    <w:p w14:paraId="0C9BA2FF" w14:textId="77777777" w:rsidR="002C7691" w:rsidRPr="002C7691" w:rsidRDefault="002C7691" w:rsidP="002C769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48EFD63" w14:textId="0D9F356F" w:rsidR="002C7691" w:rsidRPr="008821E4" w:rsidRDefault="002C7691" w:rsidP="002C7691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21E4">
        <w:rPr>
          <w:rFonts w:ascii="Times New Roman" w:hAnsi="Times New Roman" w:cs="Times New Roman"/>
          <w:sz w:val="24"/>
          <w:szCs w:val="24"/>
          <w:u w:val="single"/>
        </w:rPr>
        <w:t>Vše</w:t>
      </w:r>
      <w:r w:rsidR="008821E4" w:rsidRPr="008821E4">
        <w:rPr>
          <w:rFonts w:ascii="Times New Roman" w:hAnsi="Times New Roman" w:cs="Times New Roman"/>
          <w:sz w:val="24"/>
          <w:szCs w:val="24"/>
          <w:u w:val="single"/>
        </w:rPr>
        <w:t xml:space="preserve"> zveřejněno 16. 4. 2019 ve volně přístupných dokumentech.</w:t>
      </w:r>
    </w:p>
    <w:p w14:paraId="257B98CF" w14:textId="67EB7A96" w:rsidR="002C7691" w:rsidRDefault="002C7691" w:rsidP="008821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CABA1D" w14:textId="400F8F44" w:rsidR="008821E4" w:rsidRDefault="008821E4" w:rsidP="008821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s dokumentem pracovat:</w:t>
      </w:r>
    </w:p>
    <w:p w14:paraId="2FF7F1B4" w14:textId="630E97DC" w:rsidR="008821E4" w:rsidRDefault="008821E4" w:rsidP="008821E4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Str. 4 a následující – je zde 12 </w:t>
      </w:r>
      <w:r w:rsidR="0020468D">
        <w:rPr>
          <w:rFonts w:ascii="Times New Roman" w:hAnsi="Times New Roman" w:cs="Times New Roman"/>
          <w:sz w:val="24"/>
          <w:szCs w:val="24"/>
        </w:rPr>
        <w:t xml:space="preserve">typových </w:t>
      </w:r>
      <w:r>
        <w:rPr>
          <w:rFonts w:ascii="Times New Roman" w:hAnsi="Times New Roman" w:cs="Times New Roman"/>
          <w:sz w:val="24"/>
          <w:szCs w:val="24"/>
        </w:rPr>
        <w:t>případů</w:t>
      </w:r>
      <w:r w:rsidR="0020468D">
        <w:rPr>
          <w:rFonts w:ascii="Times New Roman" w:hAnsi="Times New Roman" w:cs="Times New Roman"/>
          <w:sz w:val="24"/>
          <w:szCs w:val="24"/>
        </w:rPr>
        <w:t xml:space="preserve">. Pokud je případ </w:t>
      </w:r>
      <w:proofErr w:type="spellStart"/>
      <w:r w:rsidR="0020468D">
        <w:rPr>
          <w:rFonts w:ascii="Times New Roman" w:hAnsi="Times New Roman" w:cs="Times New Roman"/>
          <w:sz w:val="24"/>
          <w:szCs w:val="24"/>
        </w:rPr>
        <w:t>zaklasifikován</w:t>
      </w:r>
      <w:proofErr w:type="spellEnd"/>
      <w:r w:rsidR="0020468D">
        <w:rPr>
          <w:rFonts w:ascii="Times New Roman" w:hAnsi="Times New Roman" w:cs="Times New Roman"/>
          <w:sz w:val="24"/>
          <w:szCs w:val="24"/>
        </w:rPr>
        <w:t xml:space="preserve"> ve sloupci C, jedná se o obvyklou ekonomickou činnost (tedy vstupuje do obratu a vstupuje do koeficientu).</w:t>
      </w:r>
    </w:p>
    <w:p w14:paraId="41E4B3A8" w14:textId="2FAEE8FF" w:rsidR="0020468D" w:rsidRPr="0020468D" w:rsidRDefault="0020468D" w:rsidP="0020468D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46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Příklady</w:t>
      </w:r>
    </w:p>
    <w:p w14:paraId="0B72C7CB" w14:textId="5F7DA0D8" w:rsidR="0020468D" w:rsidRDefault="0020468D" w:rsidP="0020468D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Obec odprodává starší objekt restaurace za 2 mil. Kč – dříve byl pronajímán, následně se dohodlo na odkupu (u plátce bude prodáváno například v režimu PDP podle §56 odst. 6). Analogie s případem 5 – tedy:</w:t>
      </w:r>
    </w:p>
    <w:p w14:paraId="501EF1BF" w14:textId="185D18F5" w:rsidR="0020468D" w:rsidRDefault="0020468D" w:rsidP="0020468D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 neplátce nejde do výpočtu obratu</w:t>
      </w:r>
    </w:p>
    <w:p w14:paraId="46932B05" w14:textId="334C9062" w:rsidR="0020468D" w:rsidRDefault="0020468D" w:rsidP="0020468D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 plátce nevstupuje do výpočtu koeficientu – vyplním ř. 25 a dále ř. 51 – první sloupec</w:t>
      </w:r>
    </w:p>
    <w:p w14:paraId="781D04E6" w14:textId="642D42D2" w:rsidR="0020468D" w:rsidRDefault="0020468D" w:rsidP="0020468D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69575E" w14:textId="77777777" w:rsidR="0020468D" w:rsidRDefault="0020468D" w:rsidP="0020468D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AA849E6" w14:textId="77777777" w:rsidR="0020468D" w:rsidRDefault="0020468D" w:rsidP="0020468D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Obec prodává starší byt za 800 tis. Kč – prodej osvobozen od DPH. Analogie s případem č. 3 – tedy:</w:t>
      </w:r>
    </w:p>
    <w:p w14:paraId="31A99963" w14:textId="77777777" w:rsidR="0020468D" w:rsidRDefault="0020468D" w:rsidP="0020468D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 neplátce nejde do výpočtu obratu</w:t>
      </w:r>
    </w:p>
    <w:p w14:paraId="19845284" w14:textId="36D8A140" w:rsidR="0020468D" w:rsidRPr="0020468D" w:rsidRDefault="0020468D" w:rsidP="0020468D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U plátce nevstupuje do výpočtu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koeficientu  –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vyplním ř. 50 a </w:t>
      </w:r>
      <w:r w:rsidRPr="002046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ř. 51 – druhý sloupec</w:t>
      </w:r>
    </w:p>
    <w:p w14:paraId="66C14047" w14:textId="77777777" w:rsidR="0020468D" w:rsidRPr="0020468D" w:rsidRDefault="0020468D" w:rsidP="0020468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876295" w14:textId="63DD9ED5" w:rsidR="008821E4" w:rsidRDefault="008821E4" w:rsidP="008821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232DC4" w14:textId="4FCB3ADA" w:rsidR="008821E4" w:rsidRDefault="0020468D" w:rsidP="0020468D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0468D">
        <w:rPr>
          <w:rFonts w:ascii="Times New Roman" w:hAnsi="Times New Roman" w:cs="Times New Roman"/>
          <w:i/>
          <w:iCs/>
          <w:sz w:val="24"/>
          <w:szCs w:val="24"/>
        </w:rPr>
        <w:t>Obec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provedla zasíťování pozemků pro výstavbu RD a nyní prodává jeden pozemek za 600 tis. Kč (u plátce toto bude samozřejmě s DPH). </w:t>
      </w:r>
      <w:r w:rsidR="007D3130">
        <w:rPr>
          <w:rFonts w:ascii="Times New Roman" w:hAnsi="Times New Roman" w:cs="Times New Roman"/>
          <w:i/>
          <w:iCs/>
          <w:sz w:val="24"/>
          <w:szCs w:val="24"/>
        </w:rPr>
        <w:t>Analogie s případem 1</w:t>
      </w:r>
    </w:p>
    <w:p w14:paraId="159F6FAB" w14:textId="6B9DE3F7" w:rsidR="0020468D" w:rsidRDefault="0020468D" w:rsidP="0020468D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 ne</w:t>
      </w:r>
      <w:r w:rsidR="007D3130">
        <w:rPr>
          <w:rFonts w:ascii="Times New Roman" w:hAnsi="Times New Roman" w:cs="Times New Roman"/>
          <w:i/>
          <w:iCs/>
          <w:sz w:val="24"/>
          <w:szCs w:val="24"/>
        </w:rPr>
        <w:t>plátce vstupuje do výpočtu obratu</w:t>
      </w:r>
    </w:p>
    <w:p w14:paraId="233F6A27" w14:textId="2F4DACBC" w:rsidR="007D3130" w:rsidRPr="0020468D" w:rsidRDefault="007D3130" w:rsidP="0020468D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 plátce vstupuje do koeficientu (tedy bude vyplněn pouze ř. 1 přiznání)</w:t>
      </w:r>
    </w:p>
    <w:p w14:paraId="6C7BE41F" w14:textId="77777777" w:rsidR="008821E4" w:rsidRDefault="008821E4" w:rsidP="008821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975697" w14:textId="3ED29A3F" w:rsidR="008821E4" w:rsidRDefault="008821E4" w:rsidP="008821E4">
      <w:pPr>
        <w:jc w:val="both"/>
        <w:rPr>
          <w:rFonts w:ascii="Times New Roman" w:hAnsi="Times New Roman" w:cs="Times New Roman"/>
          <w:sz w:val="24"/>
          <w:szCs w:val="24"/>
        </w:rPr>
      </w:pPr>
      <w:r w:rsidRPr="007D3130">
        <w:rPr>
          <w:rFonts w:ascii="Times New Roman" w:hAnsi="Times New Roman" w:cs="Times New Roman"/>
          <w:sz w:val="28"/>
          <w:szCs w:val="28"/>
          <w:u w:val="single"/>
        </w:rPr>
        <w:t xml:space="preserve">Co nebylo v rámci dotazu </w:t>
      </w:r>
      <w:r w:rsidR="007D3130" w:rsidRPr="007D3130">
        <w:rPr>
          <w:rFonts w:ascii="Times New Roman" w:hAnsi="Times New Roman" w:cs="Times New Roman"/>
          <w:sz w:val="28"/>
          <w:szCs w:val="28"/>
          <w:u w:val="single"/>
        </w:rPr>
        <w:t xml:space="preserve">SMO </w:t>
      </w:r>
      <w:r w:rsidRPr="007D3130">
        <w:rPr>
          <w:rFonts w:ascii="Times New Roman" w:hAnsi="Times New Roman" w:cs="Times New Roman"/>
          <w:sz w:val="28"/>
          <w:szCs w:val="28"/>
          <w:u w:val="single"/>
        </w:rPr>
        <w:t>řešeno</w:t>
      </w:r>
      <w:r>
        <w:rPr>
          <w:rFonts w:ascii="Times New Roman" w:hAnsi="Times New Roman" w:cs="Times New Roman"/>
          <w:sz w:val="24"/>
          <w:szCs w:val="24"/>
        </w:rPr>
        <w:t xml:space="preserve"> – převod nemovitostí v režimu nákup a prodej (toto nebylo nutno dotazovat – z pohledu DPH, ale i účetnictví se nejedná o dlouhodobý majetek).</w:t>
      </w:r>
    </w:p>
    <w:p w14:paraId="6914AB02" w14:textId="698B5F2D" w:rsidR="008821E4" w:rsidRPr="008821E4" w:rsidRDefault="008821E4" w:rsidP="008821E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21E4">
        <w:rPr>
          <w:rFonts w:ascii="Times New Roman" w:hAnsi="Times New Roman" w:cs="Times New Roman"/>
          <w:i/>
          <w:iCs/>
          <w:sz w:val="24"/>
          <w:szCs w:val="24"/>
        </w:rPr>
        <w:t>Příklad:</w:t>
      </w:r>
    </w:p>
    <w:p w14:paraId="22CF200F" w14:textId="662D0182" w:rsidR="008821E4" w:rsidRDefault="008821E4" w:rsidP="008821E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Obec odkoupí pozemek parcelní číslo 465/12 s tím, že jej zamýšlí zase prodat. Z pohledu účetnictví, rozpočtu i DPH se jedná o zboží, nikoliv dlouhodobý majetek. Byť by se třeba jednalo o převod od DPH osvobozený tak:</w:t>
      </w:r>
    </w:p>
    <w:p w14:paraId="679FD08F" w14:textId="4E9C703C" w:rsidR="008821E4" w:rsidRDefault="008821E4" w:rsidP="008821E4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Bude vstupovat do výpočtu obratu (důležité pro neplátce)</w:t>
      </w:r>
    </w:p>
    <w:p w14:paraId="628A9413" w14:textId="798A35A4" w:rsidR="008821E4" w:rsidRPr="008821E4" w:rsidRDefault="008821E4" w:rsidP="008821E4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Bude vstupovat do výpočtu koeficientu (tedy neuvedu jej na ř. 51 přiznání – bude jen na ř. 50)</w:t>
      </w:r>
    </w:p>
    <w:sectPr w:rsidR="008821E4" w:rsidRPr="00882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D28DF"/>
    <w:multiLevelType w:val="hybridMultilevel"/>
    <w:tmpl w:val="682498B4"/>
    <w:lvl w:ilvl="0" w:tplc="9BD6FB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270C"/>
    <w:multiLevelType w:val="hybridMultilevel"/>
    <w:tmpl w:val="B928D5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21C43"/>
    <w:multiLevelType w:val="hybridMultilevel"/>
    <w:tmpl w:val="CB6A19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1D78"/>
    <w:multiLevelType w:val="hybridMultilevel"/>
    <w:tmpl w:val="74488CD6"/>
    <w:lvl w:ilvl="0" w:tplc="54D604C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A02F6F"/>
    <w:multiLevelType w:val="hybridMultilevel"/>
    <w:tmpl w:val="5A36312C"/>
    <w:lvl w:ilvl="0" w:tplc="D9ECC8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E7C9D"/>
    <w:multiLevelType w:val="hybridMultilevel"/>
    <w:tmpl w:val="2C12F9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A3404"/>
    <w:multiLevelType w:val="hybridMultilevel"/>
    <w:tmpl w:val="8ED4C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4213F"/>
    <w:multiLevelType w:val="hybridMultilevel"/>
    <w:tmpl w:val="52B08E88"/>
    <w:lvl w:ilvl="0" w:tplc="BF8E46B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A53EF0"/>
    <w:multiLevelType w:val="hybridMultilevel"/>
    <w:tmpl w:val="A70883D0"/>
    <w:lvl w:ilvl="0" w:tplc="2042C5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92ABD"/>
    <w:multiLevelType w:val="hybridMultilevel"/>
    <w:tmpl w:val="8F58A652"/>
    <w:lvl w:ilvl="0" w:tplc="55DC3A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63054"/>
    <w:multiLevelType w:val="hybridMultilevel"/>
    <w:tmpl w:val="CB82E1EA"/>
    <w:lvl w:ilvl="0" w:tplc="1D4AE9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D2"/>
    <w:rsid w:val="00052D10"/>
    <w:rsid w:val="0013465D"/>
    <w:rsid w:val="001D7C1D"/>
    <w:rsid w:val="0020468D"/>
    <w:rsid w:val="00232EA0"/>
    <w:rsid w:val="00264A7E"/>
    <w:rsid w:val="00271438"/>
    <w:rsid w:val="002C7691"/>
    <w:rsid w:val="00305A09"/>
    <w:rsid w:val="003A086C"/>
    <w:rsid w:val="003B5AAF"/>
    <w:rsid w:val="00407E45"/>
    <w:rsid w:val="0043394E"/>
    <w:rsid w:val="00437EB5"/>
    <w:rsid w:val="004E2108"/>
    <w:rsid w:val="004E43B8"/>
    <w:rsid w:val="00596520"/>
    <w:rsid w:val="007469D6"/>
    <w:rsid w:val="00781EF9"/>
    <w:rsid w:val="00785B55"/>
    <w:rsid w:val="007D3130"/>
    <w:rsid w:val="008024BB"/>
    <w:rsid w:val="00821ED2"/>
    <w:rsid w:val="008821E4"/>
    <w:rsid w:val="0094435E"/>
    <w:rsid w:val="00A4698B"/>
    <w:rsid w:val="00AE6F2C"/>
    <w:rsid w:val="00B13DDB"/>
    <w:rsid w:val="00CB4DE7"/>
    <w:rsid w:val="00DA244B"/>
    <w:rsid w:val="00DE3169"/>
    <w:rsid w:val="00F1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CB10"/>
  <w15:chartTrackingRefBased/>
  <w15:docId w15:val="{D3145854-C988-4280-8A98-0D821AD4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3DD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3394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2D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430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Nejezchleb</dc:creator>
  <cp:keywords/>
  <dc:description/>
  <cp:lastModifiedBy>Zdeněk Nejezchleb</cp:lastModifiedBy>
  <cp:revision>6</cp:revision>
  <dcterms:created xsi:type="dcterms:W3CDTF">2020-10-29T07:59:00Z</dcterms:created>
  <dcterms:modified xsi:type="dcterms:W3CDTF">2020-10-29T13:46:00Z</dcterms:modified>
</cp:coreProperties>
</file>